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8E0" w:rsidRDefault="003468E0" w:rsidP="003468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Утверждена </w:t>
      </w:r>
    </w:p>
    <w:p w:rsidR="003468E0" w:rsidRDefault="003468E0" w:rsidP="003468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Постановлением администрации </w:t>
      </w:r>
    </w:p>
    <w:p w:rsidR="003468E0" w:rsidRDefault="003468E0" w:rsidP="003468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городского округа Люберцы                                                                                                                                                                 Московской области   </w:t>
      </w:r>
    </w:p>
    <w:p w:rsidR="003468E0" w:rsidRDefault="003468E0" w:rsidP="003468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26.06.2019 № 2376-ПА </w:t>
      </w:r>
    </w:p>
    <w:p w:rsidR="003468E0" w:rsidRDefault="003468E0" w:rsidP="003468E0">
      <w:pPr>
        <w:rPr>
          <w:rFonts w:ascii="Arial" w:hAnsi="Arial" w:cs="Arial"/>
          <w:sz w:val="24"/>
          <w:szCs w:val="24"/>
        </w:rPr>
      </w:pPr>
    </w:p>
    <w:p w:rsidR="003468E0" w:rsidRDefault="003468E0" w:rsidP="003468E0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Муниципальная программа</w:t>
      </w:r>
    </w:p>
    <w:p w:rsidR="003468E0" w:rsidRDefault="003468E0" w:rsidP="003468E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«Инвестиции городского округа Люберцы Московской области»</w:t>
      </w:r>
    </w:p>
    <w:p w:rsidR="003468E0" w:rsidRDefault="003468E0" w:rsidP="003468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Паспорт муниципальной программы «Инвестиции городского округа Люберцы Московской области»</w:t>
      </w:r>
    </w:p>
    <w:p w:rsidR="003468E0" w:rsidRDefault="003468E0" w:rsidP="003468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190"/>
        <w:gridCol w:w="1268"/>
        <w:gridCol w:w="1599"/>
        <w:gridCol w:w="1593"/>
        <w:gridCol w:w="1886"/>
        <w:gridCol w:w="1740"/>
        <w:gridCol w:w="1671"/>
      </w:tblGrid>
      <w:tr w:rsidR="003468E0" w:rsidTr="003468E0">
        <w:trPr>
          <w:trHeight w:val="509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bookmarkStart w:id="0" w:name="Par288"/>
            <w:bookmarkEnd w:id="0"/>
            <w:r>
              <w:rPr>
                <w:rFonts w:ascii="Arial" w:eastAsia="Times New Roman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2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</w:t>
            </w:r>
          </w:p>
        </w:tc>
      </w:tr>
      <w:tr w:rsidR="003468E0" w:rsidTr="003468E0">
        <w:trPr>
          <w:trHeight w:val="509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2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 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br/>
              <w:t>2. Развитие механизмов реализации единой государственной инвестиционной  политики на территории городского округа Люберцы.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br/>
              <w:t>3. Предотвращение роста напряженности на рынке труда.</w:t>
            </w:r>
          </w:p>
        </w:tc>
      </w:tr>
      <w:tr w:rsidR="003468E0" w:rsidTr="003468E0">
        <w:trPr>
          <w:trHeight w:val="509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2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Заместитель Главы администрации городского округа Люберцы Московской области А.Н. Сыров</w:t>
            </w:r>
          </w:p>
        </w:tc>
      </w:tr>
      <w:tr w:rsidR="003468E0" w:rsidTr="003468E0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264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Администрация городского округа Люберцы</w:t>
            </w:r>
          </w:p>
        </w:tc>
      </w:tr>
      <w:tr w:rsidR="003468E0" w:rsidTr="003468E0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264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2018-2022гг</w:t>
            </w:r>
          </w:p>
        </w:tc>
      </w:tr>
      <w:tr w:rsidR="003468E0" w:rsidTr="003468E0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3264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3468E0" w:rsidTr="003468E0">
        <w:trPr>
          <w:trHeight w:val="20"/>
        </w:trPr>
        <w:tc>
          <w:tcPr>
            <w:tcW w:w="17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Источники финансирования муниципальной программы, 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3264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3468E0" w:rsidTr="003468E0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2018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2019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</w:tr>
      <w:tr w:rsidR="003468E0" w:rsidTr="003468E0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3468E0" w:rsidTr="003468E0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3468E0" w:rsidTr="003468E0">
        <w:trPr>
          <w:trHeight w:val="20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3468E0" w:rsidTr="003468E0">
        <w:trPr>
          <w:trHeight w:val="433"/>
        </w:trPr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127 000,0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70 000,0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57000,0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3468E0" w:rsidTr="003468E0">
        <w:trPr>
          <w:trHeight w:val="20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127 000,0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70 000,0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57000,0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3468E0" w:rsidTr="003468E0">
        <w:trPr>
          <w:trHeight w:val="20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32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E0" w:rsidRDefault="003468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1.Количество созданных рабочих мест, в 2022 году 1782 единицы.</w:t>
            </w:r>
          </w:p>
          <w:p w:rsidR="003468E0" w:rsidRDefault="003468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2. Увеличение среднемесячной заработной платы работников организаций, не относящихся к субъектам малого предпринимательства, к 2022 году на 107,8%;</w:t>
            </w:r>
          </w:p>
          <w:p w:rsidR="003468E0" w:rsidRDefault="003468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3.Зарплата бюджетников -  Достижение (поддержание) средней заработной платы работников социальной сферы в соответствии с майскими Указами Президента 2012 года, процент - 100%;</w:t>
            </w:r>
          </w:p>
          <w:p w:rsidR="003468E0" w:rsidRDefault="003468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Процент заполняемости индустриального парка к 2022 году 82,8 %;</w:t>
            </w:r>
          </w:p>
          <w:p w:rsidR="003468E0" w:rsidRDefault="003468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5. Количество привлеченных резидентов индустриальных парков, технопарков, промышленных площадок до 3 единиц в год;</w:t>
            </w:r>
          </w:p>
          <w:p w:rsidR="003468E0" w:rsidRDefault="003468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6. Количество резидентов индустриальных парков, технопарков, промышленных площадок начавших производство к концу 2022 года до 4 единиц;</w:t>
            </w:r>
          </w:p>
          <w:p w:rsidR="003468E0" w:rsidRDefault="003468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7.Количество созданных новых индустриальных парков, технопарков, промышленных площадок  в 2020 году – 1 ед. и в 2021 году - 1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3468E0" w:rsidRDefault="003468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8. Зарплата без долгов – Задолженность по выплате заработной платы (кол-во организаций, численность работников и сумма задолженности (рублей)). К 2022 году – 0 рублей.</w:t>
            </w:r>
          </w:p>
          <w:p w:rsidR="003468E0" w:rsidRDefault="003468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9. Инвестируй в Подмосковье  - Объем инвестиций, привлеченных в основной капитал (без учета бюджетных инвестиций), на душу населения  к концу 2022 года 39,80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:rsidR="003468E0" w:rsidRDefault="003468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3468E0" w:rsidRDefault="003468E0" w:rsidP="003468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468E0" w:rsidRDefault="003468E0" w:rsidP="003468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468E0" w:rsidRDefault="003468E0" w:rsidP="003468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468E0" w:rsidRDefault="003468E0" w:rsidP="003468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</w:rPr>
        <w:t>Приложение № 1</w:t>
      </w:r>
    </w:p>
    <w:p w:rsidR="003468E0" w:rsidRDefault="003468E0" w:rsidP="003468E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3468E0" w:rsidRDefault="003468E0" w:rsidP="003468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</w:rPr>
        <w:t>Перечень мероприятий программы</w:t>
      </w:r>
    </w:p>
    <w:p w:rsidR="003468E0" w:rsidRDefault="003468E0" w:rsidP="003468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«Инвестиции городского округа Люберцы Московской области»</w:t>
      </w:r>
    </w:p>
    <w:p w:rsidR="003468E0" w:rsidRDefault="003468E0" w:rsidP="003468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18"/>
        <w:gridCol w:w="2353"/>
        <w:gridCol w:w="1419"/>
        <w:gridCol w:w="991"/>
        <w:gridCol w:w="1147"/>
        <w:gridCol w:w="850"/>
        <w:gridCol w:w="709"/>
        <w:gridCol w:w="991"/>
        <w:gridCol w:w="757"/>
        <w:gridCol w:w="751"/>
        <w:gridCol w:w="751"/>
        <w:gridCol w:w="760"/>
        <w:gridCol w:w="1003"/>
        <w:gridCol w:w="1913"/>
      </w:tblGrid>
      <w:tr w:rsidR="003468E0" w:rsidTr="003468E0">
        <w:trPr>
          <w:trHeight w:val="154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Мероприятия по реализации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 финансир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ования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Срок испол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нения мероприятия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Объем финанс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ирования мероприятия в 2017 году (предшествующему году начала реализации программы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Всего,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Результаты выполнения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подпрограммы</w:t>
            </w:r>
          </w:p>
        </w:tc>
      </w:tr>
      <w:tr w:rsidR="003468E0" w:rsidTr="003468E0">
        <w:trPr>
          <w:trHeight w:val="327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Текущий финансовый год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172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</w:tc>
      </w:tr>
      <w:tr w:rsidR="003468E0" w:rsidTr="003468E0">
        <w:trPr>
          <w:trHeight w:val="487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1.Продвижение инвестиционного потенциала городского округа Люберцы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вской области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 Увеличение Инвестиций в Подмосковье-объема инвестиций, привлеченных в основной капитал (без учета бюджетных инвестиций), на душу населения к 2022 году до 39,80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3468E0" w:rsidTr="003468E0">
        <w:trPr>
          <w:trHeight w:val="673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468E0" w:rsidTr="003468E0">
        <w:trPr>
          <w:trHeight w:val="740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127000,00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70000,00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468E0" w:rsidTr="003468E0">
        <w:trPr>
          <w:trHeight w:val="179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127000,00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70000,00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468E0" w:rsidTr="003468E0">
        <w:trPr>
          <w:trHeight w:val="487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1.1. Создание многопрофильных индустриальных парков, технологических парков, промышленных площадок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привлеченных резидентов индустриальных парков, технопарков, промышленных площадок к концу 2022 года до 3 единиц в год</w:t>
            </w:r>
          </w:p>
        </w:tc>
      </w:tr>
      <w:tr w:rsidR="003468E0" w:rsidTr="003468E0">
        <w:trPr>
          <w:trHeight w:val="673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296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127000,00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70000,00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179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127000,00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70000,00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487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1.2 Участие 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выставочно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-ярмарочных мероприятиях, форумах, направленных на повышение конкурентоспособности и инвестиционной привлекательност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и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предпринимательства и инвестиций администрации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 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E0" w:rsidRDefault="003468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Процент заполняемости индустриального парка к концу 2022 года 82,8 %;</w:t>
            </w:r>
          </w:p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673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 округа)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296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172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487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 Организация работы с возможными участниками для заключения соглашений об участии сторон государственного (муниципального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)-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частного партнерства в реализации инвестиционных проектов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Количество резидентов индустриальных парков, технопарков, промышленных площадок начавших производство к концу 2022 года до 4 единиц;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Привлечение потенциальных инвесторов.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</w:p>
        </w:tc>
      </w:tr>
      <w:tr w:rsidR="003468E0" w:rsidTr="003468E0">
        <w:trPr>
          <w:trHeight w:val="673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296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172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487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1.4 Формирование реестра реализуемых инвестиционных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проектов, программно-аппаратное обеспечение для мониторинга и администрирования инвестиционных контрактов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Управление предприним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ательства и инвестиций администрации городского округа Люберцы Московской области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Количество созданных новых индустриальн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ых парков, технопарков, промышленных площадок  в 2020 году – 1 ед. и в 2021 году - 1 ед.</w:t>
            </w:r>
          </w:p>
        </w:tc>
      </w:tr>
      <w:tr w:rsidR="003468E0" w:rsidTr="003468E0">
        <w:trPr>
          <w:trHeight w:val="673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296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172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487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2.Проведение мероприятий по увеличению рабочих мест на территории  муниципального образования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предпринимательства и инвестиций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Количество созданных рабочих мест, в 2022 году 1782 единиц</w:t>
            </w:r>
          </w:p>
        </w:tc>
      </w:tr>
      <w:tr w:rsidR="003468E0" w:rsidTr="003468E0">
        <w:trPr>
          <w:trHeight w:val="673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296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172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487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2.1.Осуществление взаимодействия с потенциальными инвесторами и действующими организациями по созданию новых рабочих мест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Улучшение инвестиционного климата, привлечение потенциальных инвесторов;</w:t>
            </w:r>
          </w:p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Увеличение среднемесячной заработной платы работников организаций, не относящихся к субъектам малого предпринимательства, к 2022 году на 107,8%;</w:t>
            </w:r>
          </w:p>
        </w:tc>
      </w:tr>
      <w:tr w:rsidR="003468E0" w:rsidTr="003468E0">
        <w:trPr>
          <w:trHeight w:val="673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296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172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487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2.2 Проведение мероприятий по информированию бизнес сообщества о мерах поддержки инвесторов при реализации инвестиционных проектов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Увеличение Инвестиций в Подмосковье-Объема инвестиций, привлеченных в основной капитал (без учета бюджетных инвестиций),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на душу населения к 2022 году до 39,80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3468E0" w:rsidTr="003468E0">
        <w:trPr>
          <w:trHeight w:val="673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 округа)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296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172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487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 Проведение мероприятий по увеличению размера заработной платы на территории муниципального образования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 2022 году зарплата без долгов. Задолженность по выплате заработной платы (кол-во организаций, численность работников и сумма задолженности) к 2022 году – 0руб.</w:t>
            </w:r>
          </w:p>
        </w:tc>
      </w:tr>
      <w:tr w:rsidR="003468E0" w:rsidTr="003468E0">
        <w:trPr>
          <w:trHeight w:val="673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296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172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487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3.1. Мониторинг динамики размера заработной платы  на действующих предприятиях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иций администрации городского округа Люберцы Московской области 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Улучшение качества жизни населения, достижение средней заработной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платы в соответствии с майскими Указами Президента 2012 года; </w:t>
            </w:r>
          </w:p>
          <w:p w:rsidR="003468E0" w:rsidRDefault="003468E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Зарплата бюджетников к концу 2022 году 100%.</w:t>
            </w:r>
          </w:p>
        </w:tc>
      </w:tr>
      <w:tr w:rsidR="003468E0" w:rsidTr="003468E0">
        <w:trPr>
          <w:trHeight w:val="673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местного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муниципального района (городского округа)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468E0" w:rsidTr="003468E0">
        <w:trPr>
          <w:trHeight w:val="296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468E0" w:rsidTr="003468E0">
        <w:trPr>
          <w:trHeight w:val="172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0,0 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468E0" w:rsidTr="003468E0">
        <w:trPr>
          <w:trHeight w:val="58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3.2 Содействие увеличению размера реальной заработной платы в соответствии с постановлением Правительства РФ от 30.11.2016 №118 в рамках трёхстороннего соглашения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Увеличение среднемесячной заработной платы работников организаций, не относящихся к субъектам малого предпринимательства к 2022 году на 107,8%.</w:t>
            </w:r>
          </w:p>
        </w:tc>
      </w:tr>
      <w:tr w:rsidR="003468E0" w:rsidTr="003468E0">
        <w:trPr>
          <w:trHeight w:val="673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296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172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487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3.3 Проведение организационных мероприятий по увеличению заработной платы работников организаций и предприятий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 2022 году зарплата без долгов. Задолженность по выплате заработной платы (кол-во организаций, численность работников и сумма задолженности) к 2022 году – 0руб.</w:t>
            </w:r>
          </w:p>
        </w:tc>
      </w:tr>
      <w:tr w:rsidR="003468E0" w:rsidTr="003468E0">
        <w:trPr>
          <w:trHeight w:val="673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296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172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0,0 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172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ИТОГО ПО ПРОГРАММЕ 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– 31.12.2022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127000,00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70000,00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172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муниципального образования городской округ Люберцы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172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468E0" w:rsidTr="003468E0">
        <w:trPr>
          <w:trHeight w:val="172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127000,00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70000,00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57000,00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3468E0" w:rsidRDefault="003468E0" w:rsidP="003468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</w:rPr>
      </w:pPr>
    </w:p>
    <w:p w:rsidR="003468E0" w:rsidRDefault="003468E0" w:rsidP="003468E0">
      <w:pPr>
        <w:widowControl w:val="0"/>
        <w:autoSpaceDE w:val="0"/>
        <w:autoSpaceDN w:val="0"/>
        <w:spacing w:after="0" w:line="240" w:lineRule="auto"/>
        <w:ind w:left="709"/>
        <w:jc w:val="right"/>
        <w:rPr>
          <w:rFonts w:ascii="Arial" w:eastAsia="Times New Roman" w:hAnsi="Arial" w:cs="Arial"/>
          <w:sz w:val="24"/>
          <w:szCs w:val="24"/>
        </w:rPr>
      </w:pPr>
      <w:bookmarkStart w:id="1" w:name="P987"/>
      <w:bookmarkEnd w:id="1"/>
    </w:p>
    <w:p w:rsidR="003468E0" w:rsidRDefault="003468E0" w:rsidP="003468E0">
      <w:pPr>
        <w:widowControl w:val="0"/>
        <w:autoSpaceDE w:val="0"/>
        <w:autoSpaceDN w:val="0"/>
        <w:spacing w:after="0" w:line="240" w:lineRule="auto"/>
        <w:ind w:left="709"/>
        <w:jc w:val="right"/>
        <w:rPr>
          <w:rFonts w:ascii="Arial" w:eastAsia="Times New Roman" w:hAnsi="Arial" w:cs="Arial"/>
          <w:sz w:val="24"/>
          <w:szCs w:val="24"/>
        </w:rPr>
      </w:pPr>
    </w:p>
    <w:p w:rsidR="003468E0" w:rsidRDefault="003468E0" w:rsidP="003468E0">
      <w:pPr>
        <w:widowControl w:val="0"/>
        <w:autoSpaceDE w:val="0"/>
        <w:autoSpaceDN w:val="0"/>
        <w:spacing w:after="0" w:line="240" w:lineRule="auto"/>
        <w:ind w:left="709"/>
        <w:jc w:val="right"/>
        <w:rPr>
          <w:rFonts w:ascii="Arial" w:eastAsia="Times New Roman" w:hAnsi="Arial" w:cs="Arial"/>
          <w:sz w:val="24"/>
          <w:szCs w:val="24"/>
        </w:rPr>
      </w:pPr>
    </w:p>
    <w:p w:rsidR="003468E0" w:rsidRDefault="003468E0" w:rsidP="003468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Приложение № 2</w:t>
      </w:r>
    </w:p>
    <w:p w:rsidR="003468E0" w:rsidRDefault="003468E0" w:rsidP="003468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p w:rsidR="003468E0" w:rsidRDefault="003468E0" w:rsidP="003468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bookmarkStart w:id="2" w:name="Par389"/>
      <w:bookmarkEnd w:id="2"/>
      <w:r>
        <w:rPr>
          <w:rFonts w:ascii="Arial" w:eastAsia="Times New Roman" w:hAnsi="Arial" w:cs="Arial"/>
          <w:sz w:val="24"/>
          <w:szCs w:val="24"/>
        </w:rPr>
        <w:t>Планируемые результаты реализации муниципальной программы</w:t>
      </w:r>
    </w:p>
    <w:p w:rsidR="003468E0" w:rsidRDefault="003468E0" w:rsidP="003468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«Инвестиции городского округа Люберцы Московской области»</w:t>
      </w:r>
    </w:p>
    <w:p w:rsidR="003468E0" w:rsidRDefault="003468E0" w:rsidP="003468E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tbl>
      <w:tblPr>
        <w:tblW w:w="1474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5"/>
        <w:gridCol w:w="1857"/>
        <w:gridCol w:w="1419"/>
        <w:gridCol w:w="1417"/>
        <w:gridCol w:w="1270"/>
        <w:gridCol w:w="975"/>
        <w:gridCol w:w="1114"/>
        <w:gridCol w:w="894"/>
        <w:gridCol w:w="850"/>
        <w:gridCol w:w="851"/>
        <w:gridCol w:w="850"/>
        <w:gridCol w:w="851"/>
        <w:gridCol w:w="1842"/>
      </w:tblGrid>
      <w:tr w:rsidR="003468E0" w:rsidTr="003468E0">
        <w:trPr>
          <w:trHeight w:val="492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№ 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br/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Базовое значение на начало реализации программы</w:t>
            </w:r>
          </w:p>
        </w:tc>
        <w:tc>
          <w:tcPr>
            <w:tcW w:w="4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Номер основного мероприятия в перечне мероприятий программы</w:t>
            </w:r>
          </w:p>
        </w:tc>
      </w:tr>
      <w:tr w:rsidR="003468E0" w:rsidTr="003468E0">
        <w:trPr>
          <w:trHeight w:val="1167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468E0" w:rsidTr="003468E0">
        <w:trPr>
          <w:trHeight w:val="19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</w:tr>
      <w:tr w:rsidR="003468E0" w:rsidTr="003468E0">
        <w:trPr>
          <w:trHeight w:val="19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14188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Инвестиции городского округа Люберцы Московской области</w:t>
            </w:r>
          </w:p>
        </w:tc>
      </w:tr>
      <w:tr w:rsidR="003468E0" w:rsidTr="003468E0">
        <w:trPr>
          <w:trHeight w:val="3629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созданных рабочих мест 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единиц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1744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1778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1779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1780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1781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1782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3468E0" w:rsidTr="003468E0">
        <w:trPr>
          <w:trHeight w:val="976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1.2.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Повышение инвестиционной привлекательности городского округа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Предотвращение роста напряженности на рынке труда.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Увеличение среднемесячной заработной платы работников организаций, не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относящихся к субъектам малого предпринимательства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Приоритетный целевой показатель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104,96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105,9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107,8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2,3</w:t>
            </w:r>
          </w:p>
        </w:tc>
      </w:tr>
      <w:tr w:rsidR="003468E0" w:rsidTr="003468E0">
        <w:trPr>
          <w:trHeight w:val="368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й деятельности и содействие эффективному развитию рынка труда и занятости населения.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Инвестируй в Подмосковье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- 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7,72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39,62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39,64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39,67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39,69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39,80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1,2</w:t>
            </w:r>
          </w:p>
        </w:tc>
      </w:tr>
      <w:tr w:rsidR="003468E0" w:rsidTr="003468E0">
        <w:trPr>
          <w:trHeight w:val="31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Предотвращение роста напряженности на рынке труда.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Зарплата бюджетников - Достижение (поддержание) средней заработной платы работников социальной сферы в соответствии с майскими Указами Президента 2012 года</w:t>
            </w:r>
          </w:p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</w:tr>
      <w:tr w:rsidR="003468E0" w:rsidTr="003468E0">
        <w:trPr>
          <w:trHeight w:val="2393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занятости населения.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 заполняемости индустриального парка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86,79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42,59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82,8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3468E0" w:rsidTr="003468E0">
        <w:trPr>
          <w:trHeight w:val="3723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Количество привлеченных резидентов индустриальных парков, технопарков, промышленных площадок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Единиц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3468E0" w:rsidTr="003468E0">
        <w:trPr>
          <w:trHeight w:val="1543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Количество резидентов индустриальных парков, технопарков, промышленных площадок начавших производство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Единиц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3468E0" w:rsidTr="003468E0">
        <w:trPr>
          <w:trHeight w:val="3722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Количество созданных новых индустриальных парков, технопарков, промышленных площадок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Единиц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3468E0" w:rsidTr="003468E0">
        <w:trPr>
          <w:trHeight w:val="21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1.9.</w:t>
            </w:r>
          </w:p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Повышение инвестиционной привлекательности городского округа Люберцы, развитие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инновационной, научной, научно – технической и промышленной деятельности и содействие эффективному развитию рынка труда и занятости населения.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Предотвращение роста напряженности на рынке труда.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Зарплата без долгов – Задолженность по выплате заработной платы (кол-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во организаций, численность работников и сумма задолженности)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Приоритетный целевой показатель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рубли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E0" w:rsidRDefault="003468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</w:tr>
    </w:tbl>
    <w:p w:rsidR="003468E0" w:rsidRDefault="003468E0" w:rsidP="003468E0">
      <w:pPr>
        <w:spacing w:after="0" w:line="240" w:lineRule="auto"/>
        <w:rPr>
          <w:rFonts w:ascii="Arial" w:eastAsia="Times New Roman" w:hAnsi="Arial" w:cs="Arial"/>
          <w:sz w:val="24"/>
          <w:szCs w:val="24"/>
        </w:rPr>
        <w:sectPr w:rsidR="003468E0">
          <w:pgSz w:w="16838" w:h="11906" w:orient="landscape"/>
          <w:pgMar w:top="1134" w:right="567" w:bottom="1134" w:left="1134" w:header="567" w:footer="567" w:gutter="340"/>
          <w:cols w:space="720"/>
        </w:sectPr>
      </w:pPr>
    </w:p>
    <w:p w:rsidR="003468E0" w:rsidRDefault="003468E0" w:rsidP="003468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1. Общая характеристика </w:t>
      </w:r>
    </w:p>
    <w:p w:rsidR="003468E0" w:rsidRDefault="003468E0" w:rsidP="003468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468E0" w:rsidRDefault="003468E0" w:rsidP="003468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Городской округ Люберцы – один из наиболее крупных по численности населения и динамично развивающихся регионов Московской области,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деятельности.</w:t>
      </w:r>
      <w:proofErr w:type="gramEnd"/>
    </w:p>
    <w:p w:rsidR="003468E0" w:rsidRDefault="003468E0" w:rsidP="003468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Степень инвестиционной привлекательности муниципального образования является определяющим условием активной инвестиционной деятельности и, следовательно, эффективного социально-экономического развития  его экономики.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Инвестиционный потенциал городского округа Люберцы складывается из совокупности  имеющихся в регионе факторов производства и сфер приложения капитала.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Она учитывает насыщенность территории факторами производства (природными ресурсами, рабочей силой, основными фондами, инфраструктурой и т.п.), потребительский спрос населения. 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Инвестиционная привлекательность городского округа Люберцы складывается из ряда факторов. 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Фактор  инвестиционной привлекательности городского округа Люберцы № 1: выгодное территориальное положение: 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расположен в 18 км от центра  г. Москвы в юго-восточном направлении, сразу  за Московской кольцевой автодорогой. Площадь городского округа Люберцы –  12,2 тыс. га, в том числе: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площадь застроенных земель - 4,8 </w:t>
      </w:r>
      <w:proofErr w:type="spellStart"/>
      <w:r>
        <w:rPr>
          <w:rFonts w:ascii="Arial" w:hAnsi="Arial" w:cs="Arial"/>
          <w:sz w:val="24"/>
          <w:szCs w:val="24"/>
        </w:rPr>
        <w:t>тыс</w:t>
      </w:r>
      <w:proofErr w:type="gramStart"/>
      <w:r>
        <w:rPr>
          <w:rFonts w:ascii="Arial" w:hAnsi="Arial" w:cs="Arial"/>
          <w:sz w:val="24"/>
          <w:szCs w:val="24"/>
        </w:rPr>
        <w:t>.г</w:t>
      </w:r>
      <w:proofErr w:type="gramEnd"/>
      <w:r>
        <w:rPr>
          <w:rFonts w:ascii="Arial" w:hAnsi="Arial" w:cs="Arial"/>
          <w:sz w:val="24"/>
          <w:szCs w:val="24"/>
        </w:rPr>
        <w:t>а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площадь сельскохозяйственных угодий  - 1,4 тыс. га, 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площадь лесных угодий – 4,5 тыс. га. 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Фактор инвестиционной привлекательности городского округа Люберцы № 2: высокая транспортная доступность.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Через городской округ Люберцы, к юго-западу от Люберец, проходит автомагистраль М-5 «Урал». Параллельно федеральной автомагистрали М-5 «Урал» к северо-востоку    проходит   Октябрьский   проспект, разветвляясь на две части — одна - на юго-восток в 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gramStart"/>
      <w:r>
        <w:rPr>
          <w:rFonts w:ascii="Arial" w:hAnsi="Arial" w:cs="Arial"/>
          <w:sz w:val="24"/>
          <w:szCs w:val="24"/>
        </w:rPr>
        <w:t>.Т</w:t>
      </w:r>
      <w:proofErr w:type="gramEnd"/>
      <w:r>
        <w:rPr>
          <w:rFonts w:ascii="Arial" w:hAnsi="Arial" w:cs="Arial"/>
          <w:sz w:val="24"/>
          <w:szCs w:val="24"/>
        </w:rPr>
        <w:t>омилино</w:t>
      </w:r>
      <w:proofErr w:type="spellEnd"/>
      <w:r>
        <w:rPr>
          <w:rFonts w:ascii="Arial" w:hAnsi="Arial" w:cs="Arial"/>
          <w:sz w:val="24"/>
          <w:szCs w:val="24"/>
        </w:rPr>
        <w:t xml:space="preserve">, другая -  на восток на </w:t>
      </w:r>
      <w:proofErr w:type="spellStart"/>
      <w:r>
        <w:rPr>
          <w:rFonts w:ascii="Arial" w:hAnsi="Arial" w:cs="Arial"/>
          <w:sz w:val="24"/>
          <w:szCs w:val="24"/>
        </w:rPr>
        <w:t>д.п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 xml:space="preserve"> и  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(Егорьевское шоссе).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городском округе Люберцы расположен  железнодорожный узел,  на территории города расположены 2 грузовые железнодорожные станции  (Люберцы 1 и Люберцы 2).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станции Люберцы-1 имеется разветвление железной дороги на 2 направления: Казанское и Рязанское. 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Фактор инвестиционной привлекательности городского округа Люберцы  № 3: высокая степень обеспеченности трудовыми ресурсами.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Городской округ Люберцы  является одним из самых густонаселенных районов в Московской области, с положительной динамикой численности населения. 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Численность занятых в экономике – </w:t>
      </w:r>
      <w:r>
        <w:rPr>
          <w:rFonts w:ascii="Arial" w:hAnsi="Arial" w:cs="Arial"/>
          <w:b/>
          <w:sz w:val="24"/>
          <w:szCs w:val="24"/>
        </w:rPr>
        <w:t xml:space="preserve">94,8 </w:t>
      </w:r>
      <w:r>
        <w:rPr>
          <w:rFonts w:ascii="Arial" w:hAnsi="Arial" w:cs="Arial"/>
          <w:sz w:val="24"/>
          <w:szCs w:val="24"/>
        </w:rPr>
        <w:t xml:space="preserve">тыс. человек, или </w:t>
      </w:r>
      <w:r>
        <w:rPr>
          <w:rFonts w:ascii="Arial" w:hAnsi="Arial" w:cs="Arial"/>
          <w:b/>
          <w:sz w:val="24"/>
          <w:szCs w:val="24"/>
        </w:rPr>
        <w:t>30,9 %</w:t>
      </w:r>
      <w:r>
        <w:rPr>
          <w:rFonts w:ascii="Arial" w:hAnsi="Arial" w:cs="Arial"/>
          <w:sz w:val="24"/>
          <w:szCs w:val="24"/>
        </w:rPr>
        <w:t xml:space="preserve"> от численности населения (из них </w:t>
      </w:r>
      <w:r>
        <w:rPr>
          <w:rFonts w:ascii="Arial" w:hAnsi="Arial" w:cs="Arial"/>
          <w:b/>
          <w:sz w:val="24"/>
          <w:szCs w:val="24"/>
        </w:rPr>
        <w:t xml:space="preserve">45,7 </w:t>
      </w:r>
      <w:r>
        <w:rPr>
          <w:rFonts w:ascii="Arial" w:hAnsi="Arial" w:cs="Arial"/>
          <w:sz w:val="24"/>
          <w:szCs w:val="24"/>
        </w:rPr>
        <w:t>тыс. человек - на крупных и средних предприятиях).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Фактор инвестиционной привлекательности городского округа Люберцы  №4: диверсифицированная структура экономики.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Структура экономики округа представлена широким спектром отраслей промышленности (17%  в валовом объеме отгруженных товаров собственного производства, выполненных работ и услуг), а также предприятиями  и организациями оптовой и розничной торговли (21 %), транспорта и связи (10%), отраслями социальной сферы (15%), сферы недвижимости (14 %), строительства (4%), производства и распределения энергоресурсов (3%) и прочих.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Экономический потенциал городского округа Люберцы  характеризуется следующими показателями: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 январь-октябрь</w:t>
      </w:r>
      <w:r>
        <w:rPr>
          <w:rFonts w:ascii="Arial" w:hAnsi="Arial" w:cs="Arial"/>
          <w:b/>
          <w:sz w:val="24"/>
          <w:szCs w:val="24"/>
        </w:rPr>
        <w:t xml:space="preserve"> 2017 года</w:t>
      </w:r>
      <w:r>
        <w:rPr>
          <w:rFonts w:ascii="Arial" w:hAnsi="Arial" w:cs="Arial"/>
          <w:sz w:val="24"/>
          <w:szCs w:val="24"/>
        </w:rPr>
        <w:t xml:space="preserve"> крупными и средними организациями округа отгружено товаров, выполнено работ и услуг по всем видам экономической деятельности на сумму </w:t>
      </w:r>
      <w:r>
        <w:rPr>
          <w:rFonts w:ascii="Arial" w:hAnsi="Arial" w:cs="Arial"/>
          <w:b/>
          <w:sz w:val="24"/>
          <w:szCs w:val="24"/>
        </w:rPr>
        <w:t>56,78 млрд. рублей,</w:t>
      </w:r>
      <w:r>
        <w:rPr>
          <w:rFonts w:ascii="Arial" w:hAnsi="Arial" w:cs="Arial"/>
          <w:sz w:val="24"/>
          <w:szCs w:val="24"/>
        </w:rPr>
        <w:t xml:space="preserve"> темп роста – </w:t>
      </w:r>
      <w:r>
        <w:rPr>
          <w:rFonts w:ascii="Arial" w:hAnsi="Arial" w:cs="Arial"/>
          <w:b/>
          <w:sz w:val="24"/>
          <w:szCs w:val="24"/>
        </w:rPr>
        <w:t xml:space="preserve">122,6 % </w:t>
      </w:r>
      <w:r>
        <w:rPr>
          <w:rFonts w:ascii="Arial" w:hAnsi="Arial" w:cs="Arial"/>
          <w:sz w:val="24"/>
          <w:szCs w:val="24"/>
        </w:rPr>
        <w:t>к  периоду январь-октябрь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2016 года.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Промышленной продукции отгружено на </w:t>
      </w:r>
      <w:r>
        <w:rPr>
          <w:rFonts w:ascii="Arial" w:hAnsi="Arial" w:cs="Arial"/>
          <w:b/>
          <w:sz w:val="24"/>
          <w:szCs w:val="24"/>
        </w:rPr>
        <w:t>25,25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млрд. рублей (</w:t>
      </w:r>
      <w:r>
        <w:rPr>
          <w:rFonts w:ascii="Arial" w:hAnsi="Arial" w:cs="Arial"/>
          <w:sz w:val="24"/>
          <w:szCs w:val="24"/>
        </w:rPr>
        <w:t xml:space="preserve">темп роста </w:t>
      </w:r>
      <w:r>
        <w:rPr>
          <w:rFonts w:ascii="Arial" w:hAnsi="Arial" w:cs="Arial"/>
          <w:b/>
          <w:sz w:val="24"/>
          <w:szCs w:val="24"/>
        </w:rPr>
        <w:t>118,5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%)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br/>
      </w:r>
      <w:proofErr w:type="gramStart"/>
      <w:r>
        <w:rPr>
          <w:rFonts w:ascii="Arial" w:hAnsi="Arial" w:cs="Arial"/>
          <w:sz w:val="24"/>
          <w:szCs w:val="24"/>
        </w:rPr>
        <w:t>На конец</w:t>
      </w:r>
      <w:proofErr w:type="gramEnd"/>
      <w:r>
        <w:rPr>
          <w:rFonts w:ascii="Arial" w:hAnsi="Arial" w:cs="Arial"/>
          <w:sz w:val="24"/>
          <w:szCs w:val="24"/>
        </w:rPr>
        <w:t xml:space="preserve"> 2017 года значение данного показателя ожидаются в объеме </w:t>
      </w:r>
      <w:r>
        <w:rPr>
          <w:rFonts w:ascii="Arial" w:hAnsi="Arial" w:cs="Arial"/>
          <w:b/>
          <w:sz w:val="24"/>
          <w:szCs w:val="24"/>
        </w:rPr>
        <w:t>33,55</w:t>
      </w:r>
      <w:r>
        <w:rPr>
          <w:rFonts w:ascii="Arial" w:hAnsi="Arial" w:cs="Arial"/>
          <w:sz w:val="24"/>
          <w:szCs w:val="24"/>
        </w:rPr>
        <w:t xml:space="preserve"> млрд. рублей.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Среднемесячная заработная плата работников крупных и средних организаций городского округа Люберцы составила </w:t>
      </w:r>
      <w:r>
        <w:rPr>
          <w:rFonts w:ascii="Arial" w:hAnsi="Arial" w:cs="Arial"/>
          <w:b/>
          <w:sz w:val="24"/>
          <w:szCs w:val="24"/>
        </w:rPr>
        <w:t>56</w:t>
      </w:r>
      <w:r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b/>
          <w:sz w:val="24"/>
          <w:szCs w:val="24"/>
        </w:rPr>
        <w:t>457,7</w:t>
      </w:r>
      <w:r>
        <w:rPr>
          <w:rFonts w:ascii="Arial" w:hAnsi="Arial" w:cs="Arial"/>
          <w:sz w:val="24"/>
          <w:szCs w:val="24"/>
        </w:rPr>
        <w:t xml:space="preserve"> рублей, темп роста – </w:t>
      </w:r>
      <w:r>
        <w:rPr>
          <w:rFonts w:ascii="Arial" w:hAnsi="Arial" w:cs="Arial"/>
          <w:b/>
          <w:sz w:val="24"/>
          <w:szCs w:val="24"/>
        </w:rPr>
        <w:t>115,6</w:t>
      </w:r>
      <w:r>
        <w:rPr>
          <w:rFonts w:ascii="Arial" w:hAnsi="Arial" w:cs="Arial"/>
          <w:sz w:val="24"/>
          <w:szCs w:val="24"/>
        </w:rPr>
        <w:t xml:space="preserve"> %, что на </w:t>
      </w:r>
      <w:r>
        <w:rPr>
          <w:rFonts w:ascii="Arial" w:hAnsi="Arial" w:cs="Arial"/>
          <w:b/>
          <w:sz w:val="24"/>
          <w:szCs w:val="24"/>
        </w:rPr>
        <w:t>7,3</w:t>
      </w:r>
      <w:r>
        <w:rPr>
          <w:rFonts w:ascii="Arial" w:hAnsi="Arial" w:cs="Arial"/>
          <w:sz w:val="24"/>
          <w:szCs w:val="24"/>
        </w:rPr>
        <w:t xml:space="preserve"> процентных пункта выше темпа роста данного показателя в среднем по Московской области.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На конец</w:t>
      </w:r>
      <w:proofErr w:type="gramEnd"/>
      <w:r>
        <w:rPr>
          <w:rFonts w:ascii="Arial" w:hAnsi="Arial" w:cs="Arial"/>
          <w:sz w:val="24"/>
          <w:szCs w:val="24"/>
        </w:rPr>
        <w:t xml:space="preserve"> 2017 года среднемесячная заработная плата работников ожидается в размере </w:t>
      </w:r>
      <w:r>
        <w:rPr>
          <w:rFonts w:ascii="Arial" w:hAnsi="Arial" w:cs="Arial"/>
          <w:b/>
          <w:sz w:val="24"/>
          <w:szCs w:val="24"/>
        </w:rPr>
        <w:t>57</w:t>
      </w:r>
      <w:r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b/>
          <w:sz w:val="24"/>
          <w:szCs w:val="24"/>
        </w:rPr>
        <w:t>281,8</w:t>
      </w:r>
      <w:r>
        <w:rPr>
          <w:rFonts w:ascii="Arial" w:hAnsi="Arial" w:cs="Arial"/>
          <w:sz w:val="24"/>
          <w:szCs w:val="24"/>
        </w:rPr>
        <w:t xml:space="preserve"> рублей. 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Среднесписочная численность работников крупных и средних организаций городского округа Люберцы за январь - сентябрь 2017 года составила </w:t>
      </w:r>
      <w:r>
        <w:rPr>
          <w:rFonts w:ascii="Arial" w:hAnsi="Arial" w:cs="Arial"/>
          <w:b/>
          <w:sz w:val="24"/>
          <w:szCs w:val="24"/>
        </w:rPr>
        <w:t>45 728</w:t>
      </w:r>
      <w:r>
        <w:rPr>
          <w:rFonts w:ascii="Arial" w:hAnsi="Arial" w:cs="Arial"/>
          <w:sz w:val="24"/>
          <w:szCs w:val="24"/>
        </w:rPr>
        <w:t xml:space="preserve"> человек, темп роста – </w:t>
      </w:r>
      <w:r>
        <w:rPr>
          <w:rFonts w:ascii="Arial" w:hAnsi="Arial" w:cs="Arial"/>
          <w:b/>
          <w:sz w:val="24"/>
          <w:szCs w:val="24"/>
        </w:rPr>
        <w:t>110,4%</w:t>
      </w:r>
      <w:r>
        <w:rPr>
          <w:rFonts w:ascii="Arial" w:hAnsi="Arial" w:cs="Arial"/>
          <w:sz w:val="24"/>
          <w:szCs w:val="24"/>
        </w:rPr>
        <w:t xml:space="preserve"> к уровню сопоставимого периода прошлого года.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Наиболее значимыми предприятиями научно-технического комплекса округа являются: 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ОАО «Вертолеты России» - компания корпорации «</w:t>
      </w:r>
      <w:proofErr w:type="spellStart"/>
      <w:r>
        <w:rPr>
          <w:rFonts w:ascii="Arial" w:hAnsi="Arial" w:cs="Arial"/>
          <w:sz w:val="24"/>
          <w:szCs w:val="24"/>
        </w:rPr>
        <w:t>Оборонпром</w:t>
      </w:r>
      <w:proofErr w:type="spellEnd"/>
      <w:r>
        <w:rPr>
          <w:rFonts w:ascii="Arial" w:hAnsi="Arial" w:cs="Arial"/>
          <w:sz w:val="24"/>
          <w:szCs w:val="24"/>
        </w:rPr>
        <w:t xml:space="preserve">», управляющая компания вертолетными активами России, обеспечивает реализацию полного жизненного цикла вертолетной техники всех классов от создания и эксплуатации и утилизации; 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ОАО «Камов» - предприятие по разработке и производству уникальных вертолетов различного назначения;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ОАО «Московский вертолетный завод имени </w:t>
      </w:r>
      <w:proofErr w:type="spellStart"/>
      <w:r>
        <w:rPr>
          <w:rFonts w:ascii="Arial" w:hAnsi="Arial" w:cs="Arial"/>
          <w:sz w:val="24"/>
          <w:szCs w:val="24"/>
        </w:rPr>
        <w:t>М.Л.Миля</w:t>
      </w:r>
      <w:proofErr w:type="spellEnd"/>
      <w:r>
        <w:rPr>
          <w:rFonts w:ascii="Arial" w:hAnsi="Arial" w:cs="Arial"/>
          <w:sz w:val="24"/>
          <w:szCs w:val="24"/>
        </w:rPr>
        <w:t xml:space="preserve">» - разработчик винтокрылых летательных аппаратов, общепризнанный лидер мирового вертолетостроения; 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ОАО «НПО «Звезда» имени академика Г.И. </w:t>
      </w:r>
      <w:proofErr w:type="spellStart"/>
      <w:r>
        <w:rPr>
          <w:rFonts w:ascii="Arial" w:hAnsi="Arial" w:cs="Arial"/>
          <w:sz w:val="24"/>
          <w:szCs w:val="24"/>
        </w:rPr>
        <w:t>Северина</w:t>
      </w:r>
      <w:proofErr w:type="spellEnd"/>
      <w:r>
        <w:rPr>
          <w:rFonts w:ascii="Arial" w:hAnsi="Arial" w:cs="Arial"/>
          <w:sz w:val="24"/>
          <w:szCs w:val="24"/>
        </w:rPr>
        <w:t>» - головное предприятие в России в области создания и производства индивидуальных систем жизнеобеспечения летчиков и космонавтов, сре</w:t>
      </w:r>
      <w:proofErr w:type="gramStart"/>
      <w:r>
        <w:rPr>
          <w:rFonts w:ascii="Arial" w:hAnsi="Arial" w:cs="Arial"/>
          <w:sz w:val="24"/>
          <w:szCs w:val="24"/>
        </w:rPr>
        <w:t>дств сп</w:t>
      </w:r>
      <w:proofErr w:type="gramEnd"/>
      <w:r>
        <w:rPr>
          <w:rFonts w:ascii="Arial" w:hAnsi="Arial" w:cs="Arial"/>
          <w:sz w:val="24"/>
          <w:szCs w:val="24"/>
        </w:rPr>
        <w:t xml:space="preserve">асения экипажей и пассажиров при авариях летательных аппаратов, систем дозаправки самолетов топливом в полете; 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ООО «НПП «ТЭЗ» – предприятие, осуществляющее разработку и изготовление многослойных керамических корпусов и модулей для проекта глобальной навигационной спутниковой системы (ГЛОНАСС);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ОАО «Научно-производственное предприятие «</w:t>
      </w:r>
      <w:proofErr w:type="spellStart"/>
      <w:r>
        <w:rPr>
          <w:rFonts w:ascii="Arial" w:hAnsi="Arial" w:cs="Arial"/>
          <w:sz w:val="24"/>
          <w:szCs w:val="24"/>
        </w:rPr>
        <w:t>ЭлТом</w:t>
      </w:r>
      <w:proofErr w:type="spellEnd"/>
      <w:r>
        <w:rPr>
          <w:rFonts w:ascii="Arial" w:hAnsi="Arial" w:cs="Arial"/>
          <w:sz w:val="24"/>
          <w:szCs w:val="24"/>
        </w:rPr>
        <w:t>» - ведущее предприятие в оборонно-промышленном комплексе по обеспечению электропитанием важнейших образцов вооружения и военной техники пятого поколения;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ЗАО «</w:t>
      </w:r>
      <w:proofErr w:type="spellStart"/>
      <w:r>
        <w:rPr>
          <w:rFonts w:ascii="Arial" w:hAnsi="Arial" w:cs="Arial"/>
          <w:sz w:val="24"/>
          <w:szCs w:val="24"/>
        </w:rPr>
        <w:t>Весоизмерительная</w:t>
      </w:r>
      <w:proofErr w:type="spellEnd"/>
      <w:r>
        <w:rPr>
          <w:rFonts w:ascii="Arial" w:hAnsi="Arial" w:cs="Arial"/>
          <w:sz w:val="24"/>
          <w:szCs w:val="24"/>
        </w:rPr>
        <w:t xml:space="preserve"> компания «</w:t>
      </w:r>
      <w:proofErr w:type="spellStart"/>
      <w:r>
        <w:rPr>
          <w:rFonts w:ascii="Arial" w:hAnsi="Arial" w:cs="Arial"/>
          <w:sz w:val="24"/>
          <w:szCs w:val="24"/>
        </w:rPr>
        <w:t>Тензо</w:t>
      </w:r>
      <w:proofErr w:type="spellEnd"/>
      <w:r>
        <w:rPr>
          <w:rFonts w:ascii="Arial" w:hAnsi="Arial" w:cs="Arial"/>
          <w:sz w:val="24"/>
          <w:szCs w:val="24"/>
        </w:rPr>
        <w:t xml:space="preserve">-М» - осуществляет разработку и производство датчиков и </w:t>
      </w:r>
      <w:proofErr w:type="spellStart"/>
      <w:r>
        <w:rPr>
          <w:rFonts w:ascii="Arial" w:hAnsi="Arial" w:cs="Arial"/>
          <w:sz w:val="24"/>
          <w:szCs w:val="24"/>
        </w:rPr>
        <w:t>весоизмерительного</w:t>
      </w:r>
      <w:proofErr w:type="spellEnd"/>
      <w:r>
        <w:rPr>
          <w:rFonts w:ascii="Arial" w:hAnsi="Arial" w:cs="Arial"/>
          <w:sz w:val="24"/>
          <w:szCs w:val="24"/>
        </w:rPr>
        <w:t xml:space="preserve"> оборудования для различных отраслей промышленности;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ООО «НПФ </w:t>
      </w:r>
      <w:proofErr w:type="spellStart"/>
      <w:r>
        <w:rPr>
          <w:rFonts w:ascii="Arial" w:hAnsi="Arial" w:cs="Arial"/>
          <w:sz w:val="24"/>
          <w:szCs w:val="24"/>
        </w:rPr>
        <w:t>Техэнергокомплекс</w:t>
      </w:r>
      <w:proofErr w:type="spellEnd"/>
      <w:r>
        <w:rPr>
          <w:rFonts w:ascii="Arial" w:hAnsi="Arial" w:cs="Arial"/>
          <w:sz w:val="24"/>
          <w:szCs w:val="24"/>
        </w:rPr>
        <w:t xml:space="preserve">» -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промышленности. 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Активизация инвестиционной деятельности способствует подъему и дальнейшему развитию экономики, с помощью инвестиций создаются новые предприятия и соответственно, дополнительные рабочие места.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Рост инвестиций вызывает увеличение объемов производства, и как следствие, заработной платы. 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Развитие производства предъявляет повышенные требования к образовательному уровню и квалификации работника с учетом рынка труда.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Актуальной проблемой городского округа Люберцы является дисбаланс между потребностью работодателей в квалифицированных рабочих кадрах и категорией безработных граждан, имеющих профессию, невостребованную на рынке труда.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содействии администрации городского округа Люберцы проводится большая работа по созданию благоприятных условий для устойчивого экономического роста.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территории городского округа Люберцы ежегодно проводятся мероприятия по содействию занятости населения и снижению напряженности на рынке труда, в том числе: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временного трудоустройства несовершеннолетних граждан в возрасте от 14 до 18 лет в свободное от учебы время;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проведения оплачиваемых общественных работ;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временного трудоустройства безработных граждан, испытывающих трудности в поиске работы;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временного трудоустройства безработных граждан в возрасте от 18 до 20 лет из числа выпускников образовательных учреждений начального и среднего профессионального образования, ищущих работу впервые;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организация ярмарок вакансий и учебных рабочих мест, в том числе высокопроизводительных; 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создание новых рабочих мест;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повышение заработной платы (минимальной и среднемесячной) и другие мероприятия.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468E0" w:rsidRDefault="003468E0" w:rsidP="003468E0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 Описание цели муниципальной программы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Цель муниципальной программы  - 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населения.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достижения указанной цели необходимо решение следующих задач:</w:t>
      </w:r>
    </w:p>
    <w:p w:rsidR="003468E0" w:rsidRDefault="003468E0" w:rsidP="003468E0">
      <w:pPr>
        <w:pStyle w:val="ac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</w:r>
    </w:p>
    <w:p w:rsidR="003468E0" w:rsidRDefault="003468E0" w:rsidP="003468E0">
      <w:pPr>
        <w:pStyle w:val="ac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Развитие механизмов реализации единой государственной инвестиционной политики на территории городского округа Люберцы.</w:t>
      </w:r>
    </w:p>
    <w:p w:rsidR="003468E0" w:rsidRDefault="003468E0" w:rsidP="003468E0">
      <w:pPr>
        <w:pStyle w:val="ac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Предотвращение роста напряженности на рынке труда.</w:t>
      </w:r>
    </w:p>
    <w:p w:rsidR="003468E0" w:rsidRDefault="003468E0" w:rsidP="003468E0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 задач осуществляется посредством реализации комплекса мероприятий, входящих в состав программы.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программе мероприятия сбалансированы по задачам, объемам финансовых средств, необходимых для решения задач, по годам реализации программы и источникам финансирования.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468E0" w:rsidRDefault="003468E0" w:rsidP="003468E0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  Прогноз развития инвестиционной деятельности 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Инвестиционная деятельность представляет собой процесс комплексный и многоуровневый. Если современная местная инвестиционная политика не будет направлена на поиск новых эффективных решений, которые позволят активизировать инвестиционные процессы в городском округе Люберцы, то это приведет к нерегулируемой застройке территории, диспропорции в размещении объектов социальной сферы и развитии сети предприятий потребительского рынка и услуг.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Кроме того, инерционный сценарий предполагает сохранение среднегодовых </w:t>
      </w:r>
      <w:proofErr w:type="gramStart"/>
      <w:r>
        <w:rPr>
          <w:rFonts w:ascii="Arial" w:hAnsi="Arial" w:cs="Arial"/>
          <w:sz w:val="24"/>
          <w:szCs w:val="24"/>
        </w:rPr>
        <w:t>темпов роста основных показателей социально-экономического развития городского округа</w:t>
      </w:r>
      <w:proofErr w:type="gramEnd"/>
      <w:r>
        <w:rPr>
          <w:rFonts w:ascii="Arial" w:hAnsi="Arial" w:cs="Arial"/>
          <w:sz w:val="24"/>
          <w:szCs w:val="24"/>
        </w:rPr>
        <w:t xml:space="preserve"> Люберцы.  Так темпы роста отгруженных товаров собственного производства, выполненных работ и услуг по промышленным видам деятельности, среднемесячной заработной платы </w:t>
      </w:r>
      <w:proofErr w:type="gramStart"/>
      <w:r>
        <w:rPr>
          <w:rFonts w:ascii="Arial" w:hAnsi="Arial" w:cs="Arial"/>
          <w:sz w:val="24"/>
          <w:szCs w:val="24"/>
        </w:rPr>
        <w:t>работников организаций, не относящихся к субъектам малого предпринимательства и инвестиций в основной капитал прогнозируются</w:t>
      </w:r>
      <w:proofErr w:type="gramEnd"/>
      <w:r>
        <w:rPr>
          <w:rFonts w:ascii="Arial" w:hAnsi="Arial" w:cs="Arial"/>
          <w:sz w:val="24"/>
          <w:szCs w:val="24"/>
        </w:rPr>
        <w:t xml:space="preserve"> на более низком уровне, чем при программном пути развития (в среднем на 2 процентных пункта). 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Реализация инерционного сценария позволит модернизировать и создавать ежегодно в среднем на 30 % меньше новых мест, поскольку инвестиционных ресурсов окажется недостаточно для создания новых предприятий.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468E0" w:rsidRDefault="003468E0" w:rsidP="003468E0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Планируемые результаты реализации муниципальной программы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Показатели эффективности реализации мероприятий приведены в приложении № 2 к настоящей Программе.</w:t>
      </w:r>
    </w:p>
    <w:p w:rsidR="003468E0" w:rsidRDefault="003468E0" w:rsidP="003468E0">
      <w:pPr>
        <w:numPr>
          <w:ilvl w:val="0"/>
          <w:numId w:val="4"/>
        </w:numPr>
        <w:tabs>
          <w:tab w:val="clear" w:pos="720"/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Инвестируй в Подмосковье-Объем инвестиций, привлеченных в основной капитал (без учета бюджетных инвестиций) на душу населения;</w:t>
      </w:r>
    </w:p>
    <w:p w:rsidR="003468E0" w:rsidRDefault="003468E0" w:rsidP="003468E0">
      <w:pPr>
        <w:numPr>
          <w:ilvl w:val="0"/>
          <w:numId w:val="4"/>
        </w:numPr>
        <w:tabs>
          <w:tab w:val="clear" w:pos="720"/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Количество созданных рабочих мест;</w:t>
      </w:r>
    </w:p>
    <w:p w:rsidR="003468E0" w:rsidRDefault="003468E0" w:rsidP="003468E0">
      <w:pPr>
        <w:pStyle w:val="ac"/>
        <w:numPr>
          <w:ilvl w:val="0"/>
          <w:numId w:val="4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Увеличение среднемесячной заработной платы работников организаций, не относящихся к субъектам малого предпринимательства;</w:t>
      </w:r>
    </w:p>
    <w:p w:rsidR="003468E0" w:rsidRDefault="003468E0" w:rsidP="003468E0">
      <w:pPr>
        <w:pStyle w:val="ac"/>
        <w:numPr>
          <w:ilvl w:val="0"/>
          <w:numId w:val="4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Процент заполняемости индустриального парка</w:t>
      </w:r>
      <w:r>
        <w:rPr>
          <w:rFonts w:ascii="Arial" w:eastAsia="Times New Roman" w:hAnsi="Arial" w:cs="Arial"/>
          <w:sz w:val="24"/>
          <w:szCs w:val="24"/>
        </w:rPr>
        <w:t>;</w:t>
      </w:r>
    </w:p>
    <w:p w:rsidR="003468E0" w:rsidRDefault="003468E0" w:rsidP="003468E0">
      <w:pPr>
        <w:pStyle w:val="ac"/>
        <w:numPr>
          <w:ilvl w:val="0"/>
          <w:numId w:val="4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привлеченных резидентов индустриальных парков, технопарков, промышленных площадок;</w:t>
      </w:r>
    </w:p>
    <w:p w:rsidR="003468E0" w:rsidRDefault="003468E0" w:rsidP="003468E0">
      <w:pPr>
        <w:pStyle w:val="ac"/>
        <w:numPr>
          <w:ilvl w:val="0"/>
          <w:numId w:val="4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резидентов индустриальных парков, технопарков, промышленных площадок начавших производство;</w:t>
      </w:r>
    </w:p>
    <w:p w:rsidR="003468E0" w:rsidRDefault="003468E0" w:rsidP="003468E0">
      <w:pPr>
        <w:pStyle w:val="ac"/>
        <w:numPr>
          <w:ilvl w:val="0"/>
          <w:numId w:val="4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созданных новых индустриальных парков, технопарков, промышленных площадок;</w:t>
      </w:r>
    </w:p>
    <w:p w:rsidR="003468E0" w:rsidRDefault="003468E0" w:rsidP="003468E0">
      <w:pPr>
        <w:pStyle w:val="ac"/>
        <w:numPr>
          <w:ilvl w:val="0"/>
          <w:numId w:val="4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Зарплата без долгов;</w:t>
      </w:r>
    </w:p>
    <w:p w:rsidR="003468E0" w:rsidRDefault="003468E0" w:rsidP="003468E0">
      <w:pPr>
        <w:pStyle w:val="ac"/>
        <w:numPr>
          <w:ilvl w:val="0"/>
          <w:numId w:val="4"/>
        </w:num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Зарплата бюджетников.</w:t>
      </w:r>
    </w:p>
    <w:p w:rsidR="003468E0" w:rsidRDefault="003468E0" w:rsidP="003468E0">
      <w:pPr>
        <w:tabs>
          <w:tab w:val="left" w:pos="709"/>
        </w:tabs>
        <w:spacing w:after="0" w:line="240" w:lineRule="auto"/>
        <w:ind w:left="720"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5. Финансирование муниципальной программы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468E0" w:rsidRDefault="003468E0" w:rsidP="003468E0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Финансирование мероприятий муниципальной программы не требуется.</w:t>
      </w:r>
    </w:p>
    <w:p w:rsidR="003468E0" w:rsidRDefault="003468E0" w:rsidP="003468E0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3468E0" w:rsidRDefault="003468E0" w:rsidP="003468E0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 Порядок взаимодействия ответственных за выполнение мероприятий программы с заказчиками муниципальной программы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Управление предпринимательства и инвестиций администрации городского округа Люберцы является заказчиком муниципальной программы, организует управление реализацией муниципальной программы и осуществляет взаимодействие с ответственными лицами за выполнение мероприятий программы, обеспечивая:</w:t>
      </w:r>
    </w:p>
    <w:p w:rsidR="003468E0" w:rsidRDefault="003468E0" w:rsidP="003468E0">
      <w:pPr>
        <w:tabs>
          <w:tab w:val="left" w:pos="1418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планирование реализации муниципальной программы в ключе задач и целевых ориентиров муниципальной программы на соответствующий финансовый год;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мониторинг целевых значений показателей муниципальной программы и показателей мероприятий муниципальной программы;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осуществление анализа и </w:t>
      </w:r>
      <w:proofErr w:type="gramStart"/>
      <w:r>
        <w:rPr>
          <w:rFonts w:ascii="Arial" w:hAnsi="Arial" w:cs="Arial"/>
          <w:sz w:val="24"/>
          <w:szCs w:val="24"/>
        </w:rPr>
        <w:t>оценки</w:t>
      </w:r>
      <w:proofErr w:type="gramEnd"/>
      <w:r>
        <w:rPr>
          <w:rFonts w:ascii="Arial" w:hAnsi="Arial" w:cs="Arial"/>
          <w:sz w:val="24"/>
          <w:szCs w:val="24"/>
        </w:rPr>
        <w:t xml:space="preserve"> фактически достигаемых значений показателей муниципальной программы по итогам отчетного периода;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осуществление ежегодной оценки результативности и эффективности мероприятий муниципальной программы;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контроль реализации мероприятий муниципальной программы в ходе ее реализации;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внесение предложений о корректировке параметров муниципальной программы;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информационное сопровождение реализации муниципальной программы.</w:t>
      </w:r>
    </w:p>
    <w:p w:rsidR="003468E0" w:rsidRDefault="003468E0" w:rsidP="003468E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468E0" w:rsidRDefault="003468E0" w:rsidP="003468E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7. Состав, форма и сроки представления отчетности о ходе</w:t>
      </w:r>
    </w:p>
    <w:p w:rsidR="003468E0" w:rsidRDefault="003468E0" w:rsidP="003468E0">
      <w:pPr>
        <w:pStyle w:val="ac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реализации мероприятий муниципальной программы</w:t>
      </w:r>
    </w:p>
    <w:p w:rsidR="003468E0" w:rsidRDefault="003468E0" w:rsidP="003468E0">
      <w:pPr>
        <w:pStyle w:val="ac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1.                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реализацией муниципальной программы осуществляется администрацией городского округа Люберцы.</w:t>
      </w:r>
    </w:p>
    <w:p w:rsidR="003468E0" w:rsidRDefault="003468E0" w:rsidP="003468E0">
      <w:pPr>
        <w:pStyle w:val="ac"/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Финансовое управление ежеквартально до 20 числа месяца, следующего за отчетным кварталом, направляет в управление экономики отчет нарастающим итогом с начала года о финансировании муниципальных программ за счет средств бюджета.</w:t>
      </w:r>
    </w:p>
    <w:p w:rsidR="003468E0" w:rsidRDefault="003468E0" w:rsidP="003468E0">
      <w:pPr>
        <w:pStyle w:val="ac"/>
        <w:spacing w:after="0" w:line="240" w:lineRule="auto"/>
        <w:ind w:left="0" w:firstLine="567"/>
        <w:jc w:val="both"/>
        <w:rPr>
          <w:rFonts w:ascii="Arial" w:eastAsiaTheme="minorEastAsia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2.                С целью контроля за реализацией муниципальной программы муниципальный заказчик программы формирует (в том числе в подсистеме ГАСУ МО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)и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направляет в управление экономики на бумажном носителе:</w:t>
      </w:r>
    </w:p>
    <w:p w:rsidR="003468E0" w:rsidRDefault="003468E0" w:rsidP="003468E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1) Ежеквартально до 15 числа месяца, следующего за отчетным кварталом, оперативный отчет о реализации мероприятий, по форме согласно приложению № 6 к настоящему Порядку, который содержит:</w:t>
      </w:r>
    </w:p>
    <w:p w:rsidR="003468E0" w:rsidRDefault="003468E0" w:rsidP="003468E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>перечень выполненных мероприятий с указанием объемов, источников финансирования, результатов выполнения мероприятий </w:t>
      </w:r>
      <w:r>
        <w:rPr>
          <w:rFonts w:ascii="Arial" w:eastAsia="Times New Roman" w:hAnsi="Arial" w:cs="Arial"/>
          <w:color w:val="000000"/>
          <w:sz w:val="24"/>
          <w:szCs w:val="24"/>
        </w:rPr>
        <w:br/>
        <w:t>и фактически достигнутых значений планируемых результатов </w:t>
      </w:r>
      <w:r>
        <w:rPr>
          <w:rFonts w:ascii="Arial" w:eastAsia="Times New Roman" w:hAnsi="Arial" w:cs="Arial"/>
          <w:color w:val="000000"/>
          <w:sz w:val="24"/>
          <w:szCs w:val="24"/>
        </w:rPr>
        <w:br/>
        <w:t>и показателей реализации муниципальной программы;</w:t>
      </w:r>
    </w:p>
    <w:p w:rsidR="003468E0" w:rsidRDefault="003468E0" w:rsidP="003468E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анализ причин несвоевременного выполнения мероприятий </w:t>
      </w:r>
      <w:r>
        <w:rPr>
          <w:rFonts w:ascii="Arial" w:eastAsia="Times New Roman" w:hAnsi="Arial" w:cs="Arial"/>
          <w:color w:val="000000"/>
          <w:sz w:val="24"/>
          <w:szCs w:val="24"/>
        </w:rPr>
        <w:br/>
        <w:t xml:space="preserve">и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не достижения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запланированных значений показателей.</w:t>
      </w:r>
    </w:p>
    <w:p w:rsidR="003468E0" w:rsidRDefault="003468E0" w:rsidP="003468E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2) Ежегодно в срок до 1 марта года, следующего за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отчетным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>, годовой отчет о реализации муниципальной программы, по форме согласно приложению № 7 к настоящему Порядку, для оценки эффективности реализации муниципальной программы, который содержит:</w:t>
      </w:r>
    </w:p>
    <w:p w:rsidR="003468E0" w:rsidRDefault="003468E0" w:rsidP="003468E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а) аналитическую записку, в которой указываются:</w:t>
      </w:r>
    </w:p>
    <w:p w:rsidR="003468E0" w:rsidRDefault="003468E0" w:rsidP="003468E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3468E0" w:rsidRDefault="003468E0" w:rsidP="003468E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общий объем фактически произведенных расходов, в том числе по источникам финансирования;</w:t>
      </w:r>
    </w:p>
    <w:p w:rsidR="003468E0" w:rsidRDefault="003468E0" w:rsidP="003468E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б) таблицу, в которой указываются данные:</w:t>
      </w:r>
    </w:p>
    <w:p w:rsidR="003468E0" w:rsidRDefault="003468E0" w:rsidP="003468E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3468E0" w:rsidRDefault="003468E0" w:rsidP="003468E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  <w:proofErr w:type="gramEnd"/>
    </w:p>
    <w:p w:rsidR="003468E0" w:rsidRDefault="003468E0" w:rsidP="003468E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по планируемым результатам реализации муниципальной программы. 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3468E0" w:rsidRDefault="003468E0" w:rsidP="003468E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3.                Управление экономики с учетом информации, полученной от заказчиков муниципальных программ, подготавливает и размещает на официальном сайте администрации городского округа Люберцы в сети Интернет:</w:t>
      </w:r>
    </w:p>
    <w:p w:rsidR="003468E0" w:rsidRDefault="003468E0" w:rsidP="003468E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а) до 1 августа текущего года сводный оперативный отчет о ходе реализации муниципальных программ за </w:t>
      </w:r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t>I</w:t>
      </w:r>
      <w:r>
        <w:rPr>
          <w:rFonts w:ascii="Arial" w:eastAsia="Times New Roman" w:hAnsi="Arial" w:cs="Arial"/>
          <w:color w:val="000000"/>
          <w:sz w:val="24"/>
          <w:szCs w:val="24"/>
        </w:rPr>
        <w:t> полугодие согласно приложению №8 к настоящему Порядку;</w:t>
      </w:r>
    </w:p>
    <w:p w:rsidR="003468E0" w:rsidRDefault="003468E0" w:rsidP="003468E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б) не позднее 1 мая года, следующего за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отчетным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, сводный годовой отчет о ходе реализации  муниципальных программ </w:t>
      </w:r>
    </w:p>
    <w:p w:rsidR="003468E0" w:rsidRDefault="003468E0" w:rsidP="003468E0">
      <w:pPr>
        <w:spacing w:after="0" w:line="240" w:lineRule="auto"/>
        <w:ind w:firstLine="567"/>
        <w:jc w:val="center"/>
        <w:rPr>
          <w:rFonts w:ascii="Arial" w:eastAsiaTheme="minorEastAsia" w:hAnsi="Arial" w:cs="Arial"/>
          <w:b/>
          <w:sz w:val="24"/>
          <w:szCs w:val="24"/>
        </w:rPr>
      </w:pPr>
    </w:p>
    <w:p w:rsidR="003468E0" w:rsidRDefault="003468E0" w:rsidP="003468E0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8. Обобщенная характеристика основных мероприятий</w:t>
      </w:r>
    </w:p>
    <w:p w:rsidR="003468E0" w:rsidRDefault="003468E0" w:rsidP="003468E0">
      <w:pPr>
        <w:pStyle w:val="ac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Основное мероприятие</w:t>
      </w:r>
      <w:r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3468E0" w:rsidRDefault="003468E0" w:rsidP="003468E0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Продвижение инвестиционного потенциала городского округа Люберцы - Создание многопрофильных индустриальных парков, технологических парков, промышленных площадок, Участие в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выставочно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-ярмарочных мероприятиях, форумах, направленных на повышение конкурентоспособности и инвестиционной привлекательности, Организация работы с возможными </w:t>
      </w:r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>участниками для заключения соглашений об участии сторон государственного (муниципального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)-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частного партнерства в реализации инвестиционных проектов - </w:t>
      </w:r>
      <w:r>
        <w:rPr>
          <w:rFonts w:ascii="Arial" w:eastAsia="Times New Roman" w:hAnsi="Arial" w:cs="Arial"/>
          <w:sz w:val="24"/>
          <w:szCs w:val="24"/>
        </w:rPr>
        <w:t>Инвестируй в Подмосковье-Объем инвестиций, привлеченных в основной капитал (без учета бюджетных инвестиций), на душу населения к 2022 году до 39,80тыс</w:t>
      </w:r>
      <w:proofErr w:type="gramStart"/>
      <w:r>
        <w:rPr>
          <w:rFonts w:ascii="Arial" w:eastAsia="Times New Roman" w:hAnsi="Arial" w:cs="Arial"/>
          <w:sz w:val="24"/>
          <w:szCs w:val="24"/>
        </w:rPr>
        <w:t>.р</w:t>
      </w:r>
      <w:proofErr w:type="gramEnd"/>
      <w:r>
        <w:rPr>
          <w:rFonts w:ascii="Arial" w:eastAsia="Times New Roman" w:hAnsi="Arial" w:cs="Arial"/>
          <w:sz w:val="24"/>
          <w:szCs w:val="24"/>
        </w:rPr>
        <w:t>уб.</w:t>
      </w:r>
    </w:p>
    <w:p w:rsidR="003468E0" w:rsidRDefault="003468E0" w:rsidP="003468E0">
      <w:pPr>
        <w:pStyle w:val="ac"/>
        <w:numPr>
          <w:ilvl w:val="0"/>
          <w:numId w:val="6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Основное мероприятие:</w:t>
      </w:r>
    </w:p>
    <w:p w:rsidR="003468E0" w:rsidRDefault="003468E0" w:rsidP="003468E0">
      <w:pPr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Проведение мероприятий по увеличению рабочих мест на территории  муниципального образования - Осуществление взаимодействия с потенциальными инвесторами и действующими организациями по созданию новых рабочих мест, проведение мероприятий по информированию бизнес сообщества о мерах поддержки инвесторов при реализации инвестиционных проектов - Количество созданных рабочих мест, в 2022 году 1782 единиц.</w:t>
      </w:r>
    </w:p>
    <w:p w:rsidR="003468E0" w:rsidRDefault="003468E0" w:rsidP="003468E0">
      <w:pPr>
        <w:pStyle w:val="ac"/>
        <w:numPr>
          <w:ilvl w:val="0"/>
          <w:numId w:val="6"/>
        </w:numPr>
        <w:jc w:val="both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Основное мероприятие</w:t>
      </w:r>
      <w:r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3468E0" w:rsidRDefault="003468E0" w:rsidP="003468E0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Проведение мероприятий по увеличению размера заработной платы на территории муниципального образования - Мониторинг динамики размера заработной платы  на действующих предприятиях, содействие увеличению размера реальной заработной платы в соответствии с постановлением Правительства РФ от 30.11.2016 №118 в рамках трёхстороннего соглашения - Улучшение качества жизни населения;</w:t>
      </w:r>
    </w:p>
    <w:p w:rsidR="003468E0" w:rsidRDefault="003468E0" w:rsidP="003468E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Зарплата без долгов к концу 2022 года 0 руб., увеличение среднемесячной заработной платы работников организаций, не относящихся к субъектам малого предпринимательства к 2022 году до 107,8%.</w:t>
      </w:r>
    </w:p>
    <w:p w:rsidR="003468E0" w:rsidRDefault="003468E0" w:rsidP="003468E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Методика расчета показателей</w:t>
      </w:r>
    </w:p>
    <w:p w:rsidR="003468E0" w:rsidRDefault="003468E0" w:rsidP="003468E0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3468E0" w:rsidRDefault="003468E0" w:rsidP="003468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1. Количество созданных рабочих мес</w:t>
      </w:r>
      <w:r>
        <w:rPr>
          <w:rFonts w:ascii="Arial" w:eastAsia="Times New Roman" w:hAnsi="Arial" w:cs="Arial"/>
          <w:color w:val="000000"/>
          <w:sz w:val="24"/>
          <w:szCs w:val="24"/>
        </w:rPr>
        <w:t>т рассчитывается по факту созданных рабочих мест.</w:t>
      </w:r>
    </w:p>
    <w:p w:rsidR="003468E0" w:rsidRDefault="003468E0" w:rsidP="003468E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2.Увеличение среднемесячной заработной платы </w:t>
      </w:r>
      <w:proofErr w:type="gramStart"/>
      <w:r>
        <w:rPr>
          <w:rFonts w:ascii="Arial" w:eastAsia="Times New Roman" w:hAnsi="Arial" w:cs="Arial"/>
          <w:b/>
          <w:color w:val="000000"/>
          <w:sz w:val="24"/>
          <w:szCs w:val="24"/>
        </w:rPr>
        <w:t>работников организаций, не относящихся к субъектам малого и среднего предпринимательства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рассчитывается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соотношением среднемесячной заработной платы работников организаций, не относящихся к субъектам малого и среднего предпринимательства текущего периода к среднемесячной заработной плате работников организаций, не относящихся к субъектам малого и среднего предпринимательства предыдущего периода - %.</w:t>
      </w:r>
    </w:p>
    <w:p w:rsidR="003468E0" w:rsidRDefault="003468E0" w:rsidP="003468E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3. «Инвестируй в Подмосковье - Объем инвестиций, привлеченных в основной капитал (без учета бюджетных инвестиций), на душу населения».</w:t>
      </w:r>
    </w:p>
    <w:p w:rsidR="003468E0" w:rsidRDefault="003468E0" w:rsidP="003468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Показатель включает объем инвестиций, привлеченных за отчетный период в основной капитал по организациям, не относящимся к субъектам малого предпринимательства, за исключением средств бюджетов всех уровней.</w:t>
      </w:r>
    </w:p>
    <w:p w:rsidR="003468E0" w:rsidRDefault="003468E0" w:rsidP="003468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>Расчет показателя осуществляется по следующей формуле:</w:t>
      </w:r>
    </w:p>
    <w:p w:rsidR="003468E0" w:rsidRDefault="003468E0" w:rsidP="003468E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Идн</w:t>
      </w:r>
      <w:proofErr w:type="spellEnd"/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= И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>/Ч</w:t>
      </w:r>
    </w:p>
    <w:p w:rsidR="003468E0" w:rsidRDefault="003468E0" w:rsidP="003468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где:</w:t>
      </w:r>
    </w:p>
    <w:p w:rsidR="003468E0" w:rsidRDefault="003468E0" w:rsidP="003468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Иди - Объем инвестиций, привлеченных в основной капитал (без учета бюджетных инвестиций), на душу населения;</w:t>
      </w:r>
    </w:p>
    <w:p w:rsidR="003468E0" w:rsidRDefault="003468E0" w:rsidP="003468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И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-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объем инвестиций, привлеченных в основной капитал</w:t>
      </w:r>
    </w:p>
    <w:p w:rsidR="003468E0" w:rsidRDefault="003468E0" w:rsidP="003468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по организациям, не относящимся к субъектам малого предпринимательства (без учета бюджетных инвестиций);</w:t>
      </w:r>
    </w:p>
    <w:p w:rsidR="003468E0" w:rsidRDefault="003468E0" w:rsidP="003468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Ч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-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Численность населения муниципального образования</w:t>
      </w:r>
    </w:p>
    <w:p w:rsidR="003468E0" w:rsidRDefault="003468E0" w:rsidP="003468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Московской области на 01 января отчетного года.</w:t>
      </w:r>
    </w:p>
    <w:p w:rsidR="003468E0" w:rsidRDefault="003468E0" w:rsidP="003468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Источником информации являются данные формы статистического наблюдения № П-2 «Сведения об инвестициях в нефинансовые активы» (далее - П-2), размещенные на отчетную дату на портале Правительства Московской области в рамках Госзаказа на статистическую информацию.</w:t>
      </w:r>
      <w:r>
        <w:rPr>
          <w:rFonts w:ascii="Arial" w:eastAsia="Times New Roman" w:hAnsi="Arial" w:cs="Arial"/>
          <w:color w:val="000000"/>
          <w:sz w:val="24"/>
          <w:szCs w:val="24"/>
        </w:rPr>
        <w:t> </w:t>
      </w:r>
    </w:p>
    <w:p w:rsidR="003468E0" w:rsidRDefault="003468E0" w:rsidP="003468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Формирование значения показателей:</w:t>
      </w:r>
    </w:p>
    <w:p w:rsidR="003468E0" w:rsidRDefault="003468E0" w:rsidP="003468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Январь-март 2019 года - (П-2 за январь-декабрь 2018 год.),</w:t>
      </w:r>
    </w:p>
    <w:p w:rsidR="003468E0" w:rsidRDefault="003468E0" w:rsidP="003468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Январь-июнь 2019 года - (П-2 за январь-март 2019 года),</w:t>
      </w:r>
    </w:p>
    <w:p w:rsidR="003468E0" w:rsidRDefault="003468E0" w:rsidP="003468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Январь - сентябрь 2019 года - (П-2 за январь-июнь 2019 года),</w:t>
      </w:r>
    </w:p>
    <w:p w:rsidR="003468E0" w:rsidRDefault="003468E0" w:rsidP="003468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Январь - декабрь 2019 года - (П-2 за январь-сентябрь 2019 года).</w:t>
      </w:r>
    </w:p>
    <w:p w:rsidR="003468E0" w:rsidRDefault="003468E0" w:rsidP="003468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За базовое значение:</w:t>
      </w:r>
    </w:p>
    <w:p w:rsidR="003468E0" w:rsidRDefault="003468E0" w:rsidP="003468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Январь-март 2019 года - объем инвестиции на душу населения январь-декабрь 2017 года,</w:t>
      </w:r>
    </w:p>
    <w:p w:rsidR="003468E0" w:rsidRDefault="003468E0" w:rsidP="003468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Январь-июнь 2019 года - объем инвестиции на душу населения за январ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ь-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декабрь 2018 года,</w:t>
      </w:r>
    </w:p>
    <w:p w:rsidR="003468E0" w:rsidRDefault="003468E0" w:rsidP="003468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Январь - сентябрь 2019 года - объем инвестиции на душу населения за январ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ь-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декабрь 2018 года,</w:t>
      </w:r>
    </w:p>
    <w:p w:rsidR="003468E0" w:rsidRDefault="003468E0" w:rsidP="003468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Январь - декабрь 2019 года - объем инвестиции на душу населения за январ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ь-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декабрь 2018 года.</w:t>
      </w:r>
    </w:p>
    <w:p w:rsidR="003468E0" w:rsidRDefault="003468E0" w:rsidP="003468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Информация об объемах инвестиций вводится в автоматизированную информационно-аналитическую систему «Мониторинг социально-экономического развития Московской области с использованием типового регионального сегмента ГАС «Управление» (далее — ГАСУ МО) органами местного самоуправления Московской области ежемесячно нарастающим итогом в тысячах рублей.</w:t>
      </w:r>
    </w:p>
    <w:p w:rsidR="003468E0" w:rsidRDefault="003468E0" w:rsidP="003468E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3468E0" w:rsidRDefault="003468E0" w:rsidP="003468E0">
      <w:pPr>
        <w:keepNext/>
        <w:keepLines/>
        <w:widowControl w:val="0"/>
        <w:tabs>
          <w:tab w:val="left" w:pos="1488"/>
        </w:tabs>
        <w:spacing w:after="0" w:line="240" w:lineRule="auto"/>
        <w:ind w:right="20"/>
        <w:jc w:val="both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bookmarkStart w:id="3" w:name="bookmark0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4. «</w:t>
      </w:r>
      <w:r>
        <w:rPr>
          <w:rFonts w:ascii="Arial" w:eastAsia="Times New Roman" w:hAnsi="Arial" w:cs="Arial"/>
          <w:b/>
          <w:iCs/>
          <w:color w:val="000000"/>
          <w:sz w:val="24"/>
          <w:szCs w:val="24"/>
        </w:rPr>
        <w:t>Процент заполняемости промышленных площадок, индустриального парка».</w:t>
      </w:r>
    </w:p>
    <w:bookmarkEnd w:id="3"/>
    <w:p w:rsidR="003468E0" w:rsidRDefault="003468E0" w:rsidP="003468E0">
      <w:pPr>
        <w:widowControl w:val="0"/>
        <w:spacing w:after="0" w:line="240" w:lineRule="auto"/>
        <w:ind w:left="120" w:right="20" w:firstLine="70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Информация вносится нарастающим итогом за отчетный период. Базовое значение показателя по всем муниципальным районам Московской области на 01.01.2019 принимается равным нулю.</w:t>
      </w:r>
    </w:p>
    <w:p w:rsidR="003468E0" w:rsidRDefault="003468E0" w:rsidP="003468E0">
      <w:pPr>
        <w:widowControl w:val="0"/>
        <w:spacing w:after="168" w:line="240" w:lineRule="auto"/>
        <w:ind w:left="120" w:right="20" w:firstLine="70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Рейтинг осуществляется по количеству начисленных муниципальному образованию Московской области баллов, в соответствии с таблицей:</w:t>
      </w:r>
    </w:p>
    <w:tbl>
      <w:tblPr>
        <w:tblStyle w:val="af"/>
        <w:tblW w:w="0" w:type="auto"/>
        <w:tblInd w:w="120" w:type="dxa"/>
        <w:tblLook w:val="04A0" w:firstRow="1" w:lastRow="0" w:firstColumn="1" w:lastColumn="0" w:noHBand="0" w:noVBand="1"/>
      </w:tblPr>
      <w:tblGrid>
        <w:gridCol w:w="972"/>
        <w:gridCol w:w="1495"/>
        <w:gridCol w:w="5106"/>
        <w:gridCol w:w="31"/>
        <w:gridCol w:w="2332"/>
      </w:tblGrid>
      <w:tr w:rsidR="003468E0" w:rsidTr="003468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</w:t>
            </w:r>
          </w:p>
          <w:p w:rsidR="003468E0" w:rsidRDefault="003468E0">
            <w:pPr>
              <w:widowControl w:val="0"/>
              <w:spacing w:after="168"/>
              <w:ind w:right="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строки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№</w:t>
            </w:r>
          </w:p>
          <w:p w:rsidR="003468E0" w:rsidRDefault="003468E0">
            <w:pPr>
              <w:widowControl w:val="0"/>
              <w:spacing w:after="168"/>
              <w:ind w:right="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показателя</w:t>
            </w:r>
          </w:p>
        </w:tc>
        <w:tc>
          <w:tcPr>
            <w:tcW w:w="5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spacing w:after="168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</w:t>
            </w:r>
          </w:p>
          <w:p w:rsidR="003468E0" w:rsidRDefault="003468E0">
            <w:pPr>
              <w:widowControl w:val="0"/>
              <w:spacing w:after="168"/>
              <w:ind w:right="2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баллов</w:t>
            </w:r>
          </w:p>
        </w:tc>
      </w:tr>
      <w:tr w:rsidR="003468E0" w:rsidTr="003468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ind w:left="1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Территории промышленного роста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2.2/ Показатель 2.1*100</w:t>
            </w:r>
          </w:p>
          <w:p w:rsidR="003468E0" w:rsidRDefault="003468E0">
            <w:pPr>
              <w:widowControl w:val="0"/>
              <w:spacing w:before="24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Первое место присваивается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достижений показателя: от 100 и более процентов.</w:t>
            </w:r>
          </w:p>
        </w:tc>
      </w:tr>
      <w:tr w:rsidR="003468E0" w:rsidTr="003468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ind w:left="1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Целевое значение процента заполняемости промышленных площадок, индустриального парка, %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Sylfaen" w:hAnsi="Arial" w:cs="Arial"/>
                <w:color w:val="000000"/>
                <w:sz w:val="24"/>
                <w:szCs w:val="24"/>
              </w:rPr>
              <w:t>X</w:t>
            </w:r>
          </w:p>
        </w:tc>
      </w:tr>
      <w:tr w:rsidR="003468E0" w:rsidTr="003468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ind w:left="1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ind w:left="12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color w:val="000000"/>
                <w:sz w:val="24"/>
                <w:szCs w:val="24"/>
              </w:rPr>
              <w:t xml:space="preserve">Процент заполняемости промышленных площадок, индустриального парка, % =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Показатель 2.2.2*100 </w:t>
            </w:r>
            <w:proofErr w:type="gram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Показатель 2.2.1-2.2.3)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Sylfaen" w:hAnsi="Arial" w:cs="Arial"/>
                <w:color w:val="000000"/>
                <w:sz w:val="24"/>
                <w:szCs w:val="24"/>
              </w:rPr>
              <w:t>X</w:t>
            </w:r>
          </w:p>
        </w:tc>
      </w:tr>
      <w:tr w:rsidR="003468E0" w:rsidTr="003468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ind w:left="1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2.2.1.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ind w:left="1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Общая площадь промышленной площадки, индустриального парка, </w:t>
            </w:r>
            <w:proofErr w:type="gramStart"/>
            <w:r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Sylfaen" w:hAnsi="Arial" w:cs="Arial"/>
                <w:color w:val="000000"/>
                <w:sz w:val="24"/>
                <w:szCs w:val="24"/>
              </w:rPr>
              <w:t>X</w:t>
            </w:r>
          </w:p>
        </w:tc>
      </w:tr>
      <w:tr w:rsidR="003468E0" w:rsidTr="003468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ind w:left="1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2.2.2.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ind w:left="1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Площадь промышленной площадки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индустриального парка, занятая резидентами, </w:t>
            </w:r>
            <w:proofErr w:type="gramStart"/>
            <w:r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Sylfaen" w:hAnsi="Arial" w:cs="Arial"/>
                <w:color w:val="000000"/>
                <w:sz w:val="24"/>
                <w:szCs w:val="24"/>
              </w:rPr>
              <w:t>X</w:t>
            </w:r>
          </w:p>
        </w:tc>
      </w:tr>
      <w:tr w:rsidR="003468E0" w:rsidTr="003468E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ind w:left="1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2.2.3.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ind w:left="12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Площадь промышленной площадки, индустриального парка, предназначенная для объектов инфраструктуры, </w:t>
            </w:r>
            <w:proofErr w:type="gramStart"/>
            <w:r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E0" w:rsidRDefault="003468E0">
            <w:pPr>
              <w:widowControl w:val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Sylfaen" w:hAnsi="Arial" w:cs="Arial"/>
                <w:color w:val="000000"/>
                <w:sz w:val="24"/>
                <w:szCs w:val="24"/>
              </w:rPr>
              <w:t>X</w:t>
            </w:r>
          </w:p>
        </w:tc>
      </w:tr>
    </w:tbl>
    <w:p w:rsidR="003468E0" w:rsidRDefault="003468E0" w:rsidP="003468E0">
      <w:pPr>
        <w:widowControl w:val="0"/>
        <w:spacing w:after="0" w:line="240" w:lineRule="auto"/>
        <w:rPr>
          <w:rFonts w:ascii="Arial" w:eastAsia="Courier New" w:hAnsi="Arial" w:cs="Arial"/>
          <w:color w:val="000000"/>
          <w:sz w:val="24"/>
          <w:szCs w:val="24"/>
        </w:rPr>
      </w:pPr>
    </w:p>
    <w:p w:rsidR="003468E0" w:rsidRDefault="003468E0" w:rsidP="003468E0">
      <w:pPr>
        <w:widowControl w:val="0"/>
        <w:spacing w:after="0" w:line="240" w:lineRule="auto"/>
        <w:ind w:left="120" w:right="6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Источником информации являются ОМСУ, управляющие компании индустриальных парков, технопарков, а также информация, опубликованная в ГИСИП </w:t>
      </w:r>
      <w:r>
        <w:rPr>
          <w:rFonts w:ascii="Arial" w:eastAsia="Segoe UI" w:hAnsi="Arial" w:cs="Arial"/>
          <w:color w:val="000000"/>
          <w:spacing w:val="10"/>
          <w:sz w:val="24"/>
          <w:szCs w:val="24"/>
          <w:shd w:val="clear" w:color="auto" w:fill="FFFFFF"/>
        </w:rPr>
        <w:t>(</w:t>
      </w:r>
      <w:r>
        <w:rPr>
          <w:rFonts w:ascii="Arial" w:eastAsia="Segoe UI" w:hAnsi="Arial" w:cs="Arial"/>
          <w:color w:val="000000"/>
          <w:spacing w:val="10"/>
          <w:sz w:val="24"/>
          <w:szCs w:val="24"/>
          <w:shd w:val="clear" w:color="auto" w:fill="FFFFFF"/>
          <w:lang w:val="en-US"/>
        </w:rPr>
        <w:t>https</w:t>
      </w:r>
      <w:r>
        <w:rPr>
          <w:rFonts w:ascii="Arial" w:eastAsia="Segoe UI" w:hAnsi="Arial" w:cs="Arial"/>
          <w:color w:val="000000"/>
          <w:spacing w:val="10"/>
          <w:sz w:val="24"/>
          <w:szCs w:val="24"/>
          <w:shd w:val="clear" w:color="auto" w:fill="FFFFFF"/>
        </w:rPr>
        <w:t>://</w:t>
      </w:r>
      <w:r>
        <w:rPr>
          <w:rFonts w:ascii="Arial" w:eastAsia="Segoe UI" w:hAnsi="Arial" w:cs="Arial"/>
          <w:color w:val="000000"/>
          <w:spacing w:val="10"/>
          <w:sz w:val="24"/>
          <w:szCs w:val="24"/>
          <w:shd w:val="clear" w:color="auto" w:fill="FFFFFF"/>
          <w:lang w:val="en-US"/>
        </w:rPr>
        <w:t>www</w:t>
      </w:r>
      <w:r>
        <w:rPr>
          <w:rFonts w:ascii="Arial" w:eastAsia="Segoe UI" w:hAnsi="Arial" w:cs="Arial"/>
          <w:color w:val="000000"/>
          <w:spacing w:val="10"/>
          <w:sz w:val="24"/>
          <w:szCs w:val="24"/>
          <w:shd w:val="clear" w:color="auto" w:fill="FFFFFF"/>
        </w:rPr>
        <w:t>.</w:t>
      </w:r>
      <w:proofErr w:type="spellStart"/>
      <w:r>
        <w:rPr>
          <w:rFonts w:ascii="Arial" w:eastAsia="Segoe UI" w:hAnsi="Arial" w:cs="Arial"/>
          <w:color w:val="000000"/>
          <w:spacing w:val="10"/>
          <w:sz w:val="24"/>
          <w:szCs w:val="24"/>
          <w:shd w:val="clear" w:color="auto" w:fill="FFFFFF"/>
          <w:lang w:val="en-US"/>
        </w:rPr>
        <w:t>gisi</w:t>
      </w:r>
      <w:proofErr w:type="spellEnd"/>
      <w:proofErr w:type="gramStart"/>
      <w:r>
        <w:rPr>
          <w:rFonts w:ascii="Arial" w:eastAsia="Times New Roman" w:hAnsi="Arial" w:cs="Arial"/>
          <w:color w:val="000000"/>
          <w:sz w:val="24"/>
          <w:szCs w:val="24"/>
          <w:u w:val="single"/>
          <w:shd w:val="clear" w:color="auto" w:fill="FFFFFF"/>
        </w:rPr>
        <w:t>р</w:t>
      </w:r>
      <w:proofErr w:type="gramEnd"/>
      <w:r>
        <w:rPr>
          <w:rFonts w:ascii="Arial" w:eastAsia="Segoe UI" w:hAnsi="Arial" w:cs="Arial"/>
          <w:color w:val="000000"/>
          <w:spacing w:val="10"/>
          <w:sz w:val="24"/>
          <w:szCs w:val="24"/>
          <w:shd w:val="clear" w:color="auto" w:fill="FFFFFF"/>
        </w:rPr>
        <w:t>.</w:t>
      </w:r>
      <w:proofErr w:type="spellStart"/>
      <w:r>
        <w:rPr>
          <w:rFonts w:ascii="Arial" w:eastAsia="Segoe UI" w:hAnsi="Arial" w:cs="Arial"/>
          <w:color w:val="000000"/>
          <w:spacing w:val="10"/>
          <w:sz w:val="24"/>
          <w:szCs w:val="24"/>
          <w:shd w:val="clear" w:color="auto" w:fill="FFFFFF"/>
          <w:lang w:val="en-US"/>
        </w:rPr>
        <w:t>ru</w:t>
      </w:r>
      <w:proofErr w:type="spellEnd"/>
      <w:r>
        <w:rPr>
          <w:rFonts w:ascii="Arial" w:eastAsia="Segoe UI" w:hAnsi="Arial" w:cs="Arial"/>
          <w:color w:val="000000"/>
          <w:spacing w:val="10"/>
          <w:sz w:val="24"/>
          <w:szCs w:val="24"/>
          <w:shd w:val="clear" w:color="auto" w:fill="FFFFFF"/>
        </w:rPr>
        <w:t>).</w:t>
      </w:r>
    </w:p>
    <w:p w:rsidR="003468E0" w:rsidRDefault="003468E0" w:rsidP="003468E0">
      <w:pPr>
        <w:widowControl w:val="0"/>
        <w:spacing w:after="0" w:line="240" w:lineRule="auto"/>
        <w:ind w:left="120" w:right="6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Целевое значение процента заполняемости промышленных площадок, индустриального парка,% устанавливается Министерством инвестиций и инноваций Московской области.</w:t>
      </w:r>
    </w:p>
    <w:p w:rsidR="003468E0" w:rsidRDefault="003468E0" w:rsidP="003468E0">
      <w:pPr>
        <w:widowControl w:val="0"/>
        <w:spacing w:after="0" w:line="240" w:lineRule="auto"/>
        <w:ind w:left="120" w:right="60" w:firstLine="720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lastRenderedPageBreak/>
        <w:t xml:space="preserve">Понятие определены Законом Московской области от 06.07.2016 </w:t>
      </w:r>
      <w:r>
        <w:rPr>
          <w:rFonts w:ascii="Arial" w:eastAsia="Times New Roman" w:hAnsi="Arial" w:cs="Arial"/>
          <w:sz w:val="24"/>
          <w:szCs w:val="24"/>
          <w:lang w:val="en-US"/>
        </w:rPr>
        <w:t>N</w:t>
      </w:r>
      <w:r>
        <w:rPr>
          <w:rFonts w:ascii="Arial" w:eastAsia="Times New Roman" w:hAnsi="Arial" w:cs="Arial"/>
          <w:sz w:val="24"/>
          <w:szCs w:val="24"/>
        </w:rPr>
        <w:t xml:space="preserve"> 84/2016- 03 </w:t>
      </w:r>
      <w:r>
        <w:rPr>
          <w:rFonts w:ascii="Arial" w:eastAsia="Times New Roman" w:hAnsi="Arial" w:cs="Arial"/>
          <w:sz w:val="24"/>
          <w:szCs w:val="24"/>
          <w:vertAlign w:val="subscript"/>
        </w:rPr>
        <w:t>«</w:t>
      </w:r>
      <w:r>
        <w:rPr>
          <w:rFonts w:ascii="Arial" w:eastAsia="Times New Roman" w:hAnsi="Arial" w:cs="Arial"/>
          <w:sz w:val="24"/>
          <w:szCs w:val="24"/>
        </w:rPr>
        <w:t>О промышленной политике в Московской области».</w:t>
      </w:r>
      <w:proofErr w:type="gramEnd"/>
    </w:p>
    <w:p w:rsidR="003468E0" w:rsidRDefault="003468E0" w:rsidP="003468E0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3468E0" w:rsidRDefault="003468E0" w:rsidP="003468E0">
      <w:pPr>
        <w:spacing w:after="0"/>
        <w:jc w:val="both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5.Количество привлеченных резидентов индустриальных парков, технопарков, промышленных площадок, единиц  - </w:t>
      </w:r>
      <w:r>
        <w:rPr>
          <w:rFonts w:ascii="Arial" w:hAnsi="Arial" w:cs="Arial"/>
          <w:sz w:val="24"/>
          <w:szCs w:val="24"/>
        </w:rPr>
        <w:t>по факту</w:t>
      </w:r>
      <w:r>
        <w:rPr>
          <w:rFonts w:ascii="Arial" w:hAnsi="Arial" w:cs="Arial"/>
          <w:b/>
          <w:sz w:val="24"/>
          <w:szCs w:val="24"/>
        </w:rPr>
        <w:t>.</w:t>
      </w:r>
    </w:p>
    <w:p w:rsidR="003468E0" w:rsidRDefault="003468E0" w:rsidP="003468E0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Резидент – юридическое лицо или индивидуальный предприниматель, заключившие с управляющей компанией или иными лицами многофункциональных индустриальных парков, индустриальных (промышленных) парков, технопарков,  промышленных площадок договор аренды (более 12 месяцев) и (или) договор купли-продажи объектов промышленной инфраструктуры или их частей и (или) земельного участка, в целях ведения предпринимательской деятельности.</w:t>
      </w:r>
    </w:p>
    <w:p w:rsidR="003468E0" w:rsidRDefault="003468E0" w:rsidP="003468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6.Количество резидентов индустриальных парков, технопарков, промышленных площадок начавших производство, единиц </w:t>
      </w:r>
      <w:r>
        <w:rPr>
          <w:rFonts w:ascii="Arial" w:hAnsi="Arial" w:cs="Arial"/>
          <w:sz w:val="24"/>
          <w:szCs w:val="24"/>
        </w:rPr>
        <w:t xml:space="preserve">по факту. </w:t>
      </w:r>
    </w:p>
    <w:p w:rsidR="003468E0" w:rsidRDefault="003468E0" w:rsidP="003468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7.Количество созданных новых индустриальных парков, технопарков, промышленных площадок, единиц – </w:t>
      </w:r>
      <w:r>
        <w:rPr>
          <w:rFonts w:ascii="Arial" w:hAnsi="Arial" w:cs="Arial"/>
          <w:sz w:val="24"/>
          <w:szCs w:val="24"/>
        </w:rPr>
        <w:t>по факту</w:t>
      </w:r>
      <w:r>
        <w:rPr>
          <w:rFonts w:ascii="Arial" w:hAnsi="Arial" w:cs="Arial"/>
          <w:b/>
          <w:sz w:val="24"/>
          <w:szCs w:val="24"/>
        </w:rPr>
        <w:t>.</w:t>
      </w:r>
    </w:p>
    <w:p w:rsidR="003468E0" w:rsidRDefault="003468E0" w:rsidP="003468E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Созданный индустриальный парк – многофункциональный  индустриальный парк, объекты промышленной, транспортно-логистической и иной инфраструктуры, предназначенные для создания или модернизации промышленного производства, оказания услуг по складированию и хранению, обработке грузов, вспомогательных транспортных услуг, которого находятся на этапе строительства, модернизации и (или) реконструкции имеющий концепцию развития и соответствующий следующим требованиям:</w:t>
      </w:r>
    </w:p>
    <w:p w:rsidR="003468E0" w:rsidRDefault="003468E0" w:rsidP="003468E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на территории создаваемого многофункционального индустриального парка размещены и (или) запланированы к размещению:</w:t>
      </w:r>
    </w:p>
    <w:p w:rsidR="003468E0" w:rsidRDefault="003468E0" w:rsidP="003468E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объекты недвижимого имущества для обеспечения движения транспортных средств резидентов или потенциальных резидентов многофункционального индустриального парка, а также иных лиц, обслуживающих объекты коммунальной инфраструктуры многофункционального индустриального парка;</w:t>
      </w:r>
    </w:p>
    <w:p w:rsidR="003468E0" w:rsidRDefault="003468E0" w:rsidP="003468E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системы коммуникаций и объекты водоснабжения, водоотведения, теплоснабжения, электроснабжения и газоснабжения, связи, обеспечивающие деятельность резидентов или потенциальных резидентов многофункционального индустриального парка;</w:t>
      </w:r>
    </w:p>
    <w:p w:rsidR="003468E0" w:rsidRDefault="003468E0" w:rsidP="003468E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иные здания, строения и сооружения, предназначенные для создания промышленного производства или модернизации промышленного производства, оказания услуг по складированию и хранению, обработке грузов, вспомогательных транспортных услуг резидентов или потенциальных резидентов многофункционального индустриального парка;</w:t>
      </w:r>
    </w:p>
    <w:p w:rsidR="003468E0" w:rsidRDefault="003468E0" w:rsidP="003468E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2) территория создаваемого многофункционального индустриального (промышленного) парка отвечает следующим требованиям:</w:t>
      </w:r>
    </w:p>
    <w:p w:rsidR="003468E0" w:rsidRDefault="003468E0" w:rsidP="003468E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земельные участки, составляющие территорию многофункционального индустриального парка должны быть смежными (т.е. иметь хотя бы одну общую границу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другим</w:t>
      </w:r>
      <w:proofErr w:type="gramEnd"/>
      <w:r>
        <w:rPr>
          <w:rFonts w:ascii="Arial" w:hAnsi="Arial" w:cs="Arial"/>
          <w:sz w:val="24"/>
          <w:szCs w:val="24"/>
        </w:rPr>
        <w:t xml:space="preserve"> земельным участком, составляющим территорию многофункционального индустриального парка), либо располагаться на расстоянии не далее 2 км от ближайшего к ним земельного участка, составляющего территорию многофункционального индустриального парка;</w:t>
      </w:r>
    </w:p>
    <w:p w:rsidR="003468E0" w:rsidRDefault="003468E0" w:rsidP="003468E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площадь парка составляет не менее 8 га;</w:t>
      </w:r>
    </w:p>
    <w:p w:rsidR="003468E0" w:rsidRDefault="003468E0" w:rsidP="003468E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состав территории парка входят земельные участки, относящиеся</w:t>
      </w:r>
      <w:r>
        <w:rPr>
          <w:rFonts w:ascii="Arial" w:hAnsi="Arial" w:cs="Arial"/>
          <w:sz w:val="24"/>
          <w:szCs w:val="24"/>
        </w:rPr>
        <w:br/>
        <w:t>к категории земель промышленности и (или) земель поселений, на которых допускается и (или) планируется размещение промышленной инфраструктуры;</w:t>
      </w:r>
    </w:p>
    <w:p w:rsidR="003468E0" w:rsidRDefault="003468E0" w:rsidP="003468E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 менее 25 процентов территории предназначено для размещения и ведения промышленного производства резидентов (потенциальных резидентов);</w:t>
      </w:r>
    </w:p>
    <w:p w:rsidR="003468E0" w:rsidRDefault="003468E0" w:rsidP="003468E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обеспечена и (или) запланирована обеспечением проложенной до границы территории парка автомобильной дороги обычного типа, примыкающей к дороге федерального, регионального или местного значения, а также с въездом на территорию парка с указанной автомобильной дороги;</w:t>
      </w:r>
    </w:p>
    <w:p w:rsidR="003468E0" w:rsidRDefault="003468E0" w:rsidP="003468E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коммунальная инфраструктура создаваемого многофункционального индустриального  парка отвечает следующим требованиям:</w:t>
      </w:r>
    </w:p>
    <w:p w:rsidR="003468E0" w:rsidRDefault="003468E0" w:rsidP="003468E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наличие на территории точки присоединения потребителей к электрической энергии максимальной мощностью не менее 1 МВт, но не менее 0,10 МВт свободной максимальной мощности на каждый свободный гектар площади территории многофункционального индустриального парка или наличие действующих технических условий на технологическое присоединение потребителей к электрической энергии, или наличие собственных объектов по производству электрической энергии, или наличие согласованного в установленном порядке проекта создания</w:t>
      </w:r>
      <w:proofErr w:type="gramEnd"/>
      <w:r>
        <w:rPr>
          <w:rFonts w:ascii="Arial" w:hAnsi="Arial" w:cs="Arial"/>
          <w:sz w:val="24"/>
          <w:szCs w:val="24"/>
        </w:rPr>
        <w:t xml:space="preserve"> собственных объектов по производству электрической энергии и технических условий на технологическое присоединение потребителей к электрической энергии, или наличие подтверждающего письма от </w:t>
      </w:r>
      <w:proofErr w:type="spellStart"/>
      <w:r>
        <w:rPr>
          <w:rFonts w:ascii="Arial" w:hAnsi="Arial" w:cs="Arial"/>
          <w:sz w:val="24"/>
          <w:szCs w:val="24"/>
        </w:rPr>
        <w:t>ресурсоснабжающей</w:t>
      </w:r>
      <w:proofErr w:type="spellEnd"/>
      <w:r>
        <w:rPr>
          <w:rFonts w:ascii="Arial" w:hAnsi="Arial" w:cs="Arial"/>
          <w:sz w:val="24"/>
          <w:szCs w:val="24"/>
        </w:rPr>
        <w:t xml:space="preserve"> организации о технической возможности присоединения;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наличие существующего подключения потребителей к сетям газоснабжения и (или) к сетям теплоснабжения, или наличие действующих технических условий на подключение потребителей к сетям газоснабжения и (или) к сетям теплоснабжения, или наличие собственных объектов газоснабжения и (или) теплоснабжения</w:t>
      </w:r>
      <w:proofErr w:type="gramStart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и</w:t>
      </w:r>
      <w:proofErr w:type="gramEnd"/>
      <w:r>
        <w:rPr>
          <w:rFonts w:ascii="Arial" w:hAnsi="Arial" w:cs="Arial"/>
          <w:sz w:val="24"/>
          <w:szCs w:val="24"/>
        </w:rPr>
        <w:t xml:space="preserve">ли наличие согласованного в установленном порядке проекта создания собственных объектов газоснабжения и (или) теплоснабжения или наличие подтверждающего письма от </w:t>
      </w:r>
      <w:proofErr w:type="spellStart"/>
      <w:r>
        <w:rPr>
          <w:rFonts w:ascii="Arial" w:hAnsi="Arial" w:cs="Arial"/>
          <w:sz w:val="24"/>
          <w:szCs w:val="24"/>
        </w:rPr>
        <w:t>ресурсоснабжающей</w:t>
      </w:r>
      <w:proofErr w:type="spellEnd"/>
      <w:r>
        <w:rPr>
          <w:rFonts w:ascii="Arial" w:hAnsi="Arial" w:cs="Arial"/>
          <w:sz w:val="24"/>
          <w:szCs w:val="24"/>
        </w:rPr>
        <w:t xml:space="preserve"> организации о технической возможности присоединения;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lastRenderedPageBreak/>
        <w:t xml:space="preserve">наличие существующего подключения потребителей к системе водоснабжения и водоотведения, или наличие технических условий на подключение потребителей к системе водоснабжения и водоотведения, или наличие собственных объектов водоснабжения и водоотведения, или наличие согласованного в установленном порядке проекта создания собственных объектов системы водоснабжения и водоотведения, или наличие подтверждающего письма от </w:t>
      </w:r>
      <w:proofErr w:type="spellStart"/>
      <w:r>
        <w:rPr>
          <w:rFonts w:ascii="Arial" w:hAnsi="Arial" w:cs="Arial"/>
          <w:sz w:val="24"/>
          <w:szCs w:val="24"/>
        </w:rPr>
        <w:t>ресурсоснабжающей</w:t>
      </w:r>
      <w:proofErr w:type="spellEnd"/>
      <w:r>
        <w:rPr>
          <w:rFonts w:ascii="Arial" w:hAnsi="Arial" w:cs="Arial"/>
          <w:sz w:val="24"/>
          <w:szCs w:val="24"/>
        </w:rPr>
        <w:t xml:space="preserve"> организации о технической возможности присоединения</w:t>
      </w:r>
      <w:proofErr w:type="gramEnd"/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Созданный технопарк (технологический парк)  – часть территории Московской области с расположенным на ней имущественным комплексом, состоящим из объектов коммунальной, транспортной и технологической инфраструктуры, обеспечивающим полный цикл услуг по размещению и развитию промышленных и (или) инновационных компаний, являющихся резидентами технопарка, и управляемая управляющей компанией.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Основные критерии для отнесения объекта к технопарку: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Наличие информации о технопарке в ГИСИП.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Наличие комплекса объектов </w:t>
      </w:r>
      <w:proofErr w:type="gramStart"/>
      <w:r>
        <w:rPr>
          <w:rFonts w:ascii="Arial" w:hAnsi="Arial" w:cs="Arial"/>
          <w:sz w:val="24"/>
          <w:szCs w:val="24"/>
        </w:rPr>
        <w:t>коммунальной</w:t>
      </w:r>
      <w:proofErr w:type="gramEnd"/>
      <w:r>
        <w:rPr>
          <w:rFonts w:ascii="Arial" w:hAnsi="Arial" w:cs="Arial"/>
          <w:sz w:val="24"/>
          <w:szCs w:val="24"/>
        </w:rPr>
        <w:t xml:space="preserve">, транспортной 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 технологической инфраструктуры для размещения высокотехнологичных компаний (резидентов).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Наличие управляющей компании, которая распоряжается имущественным комплексом технопарка на праве собственности или аренды, и оказывает услуги резидентам технопарка.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Общая площадь зданий и сооружений технопарка составляет не менее               5 000 кв. м.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Наличие не менее 5 резидентов, ведущих деятельность на территории технопарка, имеющих выручку от деятельности и уплачивающих налоги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отчетную дату.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Наличие не менее 1 объекта технологической инфраструктуры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из следующего перечня: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·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Коворкинг</w:t>
      </w:r>
      <w:proofErr w:type="spellEnd"/>
      <w:r>
        <w:rPr>
          <w:rFonts w:ascii="Arial" w:hAnsi="Arial" w:cs="Arial"/>
          <w:sz w:val="24"/>
          <w:szCs w:val="24"/>
        </w:rPr>
        <w:t>-центр;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·</w:t>
      </w:r>
      <w:r>
        <w:rPr>
          <w:rFonts w:ascii="Arial" w:hAnsi="Arial" w:cs="Arial"/>
          <w:sz w:val="24"/>
          <w:szCs w:val="24"/>
        </w:rPr>
        <w:tab/>
        <w:t xml:space="preserve">Центр коллективного пользования научным оборудованием;    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·</w:t>
      </w:r>
      <w:r>
        <w:rPr>
          <w:rFonts w:ascii="Arial" w:hAnsi="Arial" w:cs="Arial"/>
          <w:sz w:val="24"/>
          <w:szCs w:val="24"/>
        </w:rPr>
        <w:tab/>
        <w:t>Центр коллективного пользования опытно-промышленным оборудованием;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·</w:t>
      </w:r>
      <w:r>
        <w:rPr>
          <w:rFonts w:ascii="Arial" w:hAnsi="Arial" w:cs="Arial"/>
          <w:sz w:val="24"/>
          <w:szCs w:val="24"/>
        </w:rPr>
        <w:tab/>
        <w:t xml:space="preserve">Лаборатория;    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·</w:t>
      </w:r>
      <w:r>
        <w:rPr>
          <w:rFonts w:ascii="Arial" w:hAnsi="Arial" w:cs="Arial"/>
          <w:sz w:val="24"/>
          <w:szCs w:val="24"/>
        </w:rPr>
        <w:tab/>
        <w:t xml:space="preserve">Виварий;    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·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Инновационно</w:t>
      </w:r>
      <w:proofErr w:type="spellEnd"/>
      <w:r>
        <w:rPr>
          <w:rFonts w:ascii="Arial" w:hAnsi="Arial" w:cs="Arial"/>
          <w:sz w:val="24"/>
          <w:szCs w:val="24"/>
        </w:rPr>
        <w:t xml:space="preserve">-технологический центр;    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·</w:t>
      </w:r>
      <w:r>
        <w:rPr>
          <w:rFonts w:ascii="Arial" w:hAnsi="Arial" w:cs="Arial"/>
          <w:sz w:val="24"/>
          <w:szCs w:val="24"/>
        </w:rPr>
        <w:tab/>
        <w:t xml:space="preserve">Центр аддитивных технологий;    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·</w:t>
      </w:r>
      <w:r>
        <w:rPr>
          <w:rFonts w:ascii="Arial" w:hAnsi="Arial" w:cs="Arial"/>
          <w:sz w:val="24"/>
          <w:szCs w:val="24"/>
        </w:rPr>
        <w:tab/>
        <w:t xml:space="preserve">Чистые комнаты;    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·</w:t>
      </w:r>
      <w:r>
        <w:rPr>
          <w:rFonts w:ascii="Arial" w:hAnsi="Arial" w:cs="Arial"/>
          <w:sz w:val="24"/>
          <w:szCs w:val="24"/>
        </w:rPr>
        <w:tab/>
        <w:t xml:space="preserve">Дата центр.    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Созданная промышленная площадка – промышленная площадка,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</w:t>
      </w:r>
      <w:proofErr w:type="gramStart"/>
      <w:r>
        <w:rPr>
          <w:rFonts w:ascii="Arial" w:hAnsi="Arial" w:cs="Arial"/>
          <w:sz w:val="24"/>
          <w:szCs w:val="24"/>
        </w:rPr>
        <w:t>пределах</w:t>
      </w:r>
      <w:proofErr w:type="gramEnd"/>
      <w:r>
        <w:rPr>
          <w:rFonts w:ascii="Arial" w:hAnsi="Arial" w:cs="Arial"/>
          <w:sz w:val="24"/>
          <w:szCs w:val="24"/>
        </w:rPr>
        <w:t xml:space="preserve"> которой находятся на этапе строительства, модернизации и (или) реконструкции объекты капитального строительства промышленной инфраструктуры и соответствующая следующим требованиям: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территория промышленной площадки отвечает следующим требованиям: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территория определена, имеет границы;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земельные участки, составляющие территорию промышленной площадки, должны быть смежными (т.е. иметь хотя бы одну общую границу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другим</w:t>
      </w:r>
      <w:proofErr w:type="gramEnd"/>
      <w:r>
        <w:rPr>
          <w:rFonts w:ascii="Arial" w:hAnsi="Arial" w:cs="Arial"/>
          <w:sz w:val="24"/>
          <w:szCs w:val="24"/>
        </w:rPr>
        <w:t xml:space="preserve"> земельным участком, составляющим территорию промышленной площадки), либо располагаться на расстоянии не далее 100 м от ближайшего к ним земельного участка, составляющего территорию промышленной площадки;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площадь составляет не менее 4 га;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состав территории промышленной площадки входят земельные участки, относящиеся к категории земель промышленности и (или) земель поселений,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</w:t>
      </w:r>
      <w:proofErr w:type="gramStart"/>
      <w:r>
        <w:rPr>
          <w:rFonts w:ascii="Arial" w:hAnsi="Arial" w:cs="Arial"/>
          <w:sz w:val="24"/>
          <w:szCs w:val="24"/>
        </w:rPr>
        <w:t>которых</w:t>
      </w:r>
      <w:proofErr w:type="gramEnd"/>
      <w:r>
        <w:rPr>
          <w:rFonts w:ascii="Arial" w:hAnsi="Arial" w:cs="Arial"/>
          <w:sz w:val="24"/>
          <w:szCs w:val="24"/>
        </w:rPr>
        <w:t xml:space="preserve"> допускается размещение промышленной инфраструктуры;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 менее 75 процентов территории промышленной площадки предназначено для размещения и ведения промышленного производства резидентов (потенциальных резидентов);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коммунальная инфраструктура промышленной площадки отвечает следующим требованиям: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наличие на территории промышленной площадки точки присоединения потребителей к электрической энергии или наличие действующих технических условий на технологическое присоединение потребителей к электрической энергии;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наличие существующего подключения или технических условий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подключение потребителей к сетям газоснабжения и (или) к сетям теплоснабжения;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наличие существующего подключения или технических условий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подключение потребителей к системе водоснабжения и водоотведения (при необходимости);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«Зарплата без </w:t>
      </w:r>
      <w:proofErr w:type="gramStart"/>
      <w:r>
        <w:rPr>
          <w:rFonts w:ascii="Arial" w:hAnsi="Arial" w:cs="Arial"/>
          <w:b/>
          <w:sz w:val="24"/>
          <w:szCs w:val="24"/>
        </w:rPr>
        <w:t>долгов</w:t>
      </w: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>Задолженность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по выплате заработной платы (количество организаций, численность работников и сумма задолженности)».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Источник информации для расчета показателя «Зарплата без долгов «Задолженность по выплате заработной платы (количество организаций, численность работников и сумма задолженности)» является информация, размещенная на портале ГАС «Управление» муниципальными районами, городскими округами Московской области, а также </w:t>
      </w:r>
      <w:proofErr w:type="gramStart"/>
      <w:r>
        <w:rPr>
          <w:rFonts w:ascii="Arial" w:hAnsi="Arial" w:cs="Arial"/>
          <w:sz w:val="24"/>
          <w:szCs w:val="24"/>
        </w:rPr>
        <w:t>информация</w:t>
      </w:r>
      <w:proofErr w:type="gramEnd"/>
      <w:r>
        <w:rPr>
          <w:rFonts w:ascii="Arial" w:hAnsi="Arial" w:cs="Arial"/>
          <w:sz w:val="24"/>
          <w:szCs w:val="24"/>
        </w:rPr>
        <w:t xml:space="preserve"> предоставленная Государственной инспекцией труда в Московской области.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Оценка выполнения показателя основывается по следующим критериям: о наличие задолженности в организациях, осуществляющих деятельность на территории муниципального образования;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° количество организаций, осуществляющих деятельность на территории муниципального образования, допустивших задолженность по заработной плате;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° количество работников, перед которыми имеется задолженность по заработной плате;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° наличие задолженности по заработной плате в муниципальных учреждениях и предприятиях, а также в организациях с муниципальной долей собственности;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° наличие организаций с задолженностью по заработной плате свыше 25 млн. рублей.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Рейтинг муниципальных образований Московской области рассчитывается по сумме баллов по пяти критериям, где первое место присваивается тому муниципальному образованию Московской области, которое получило наименьшее количество баллов.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не предоставлении муниципальным образованием Московской области данных (части данных), необходимых для расчета значений показателя или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предоставлении</w:t>
      </w:r>
      <w:proofErr w:type="gramEnd"/>
      <w:r>
        <w:rPr>
          <w:rFonts w:ascii="Arial" w:hAnsi="Arial" w:cs="Arial"/>
          <w:sz w:val="24"/>
          <w:szCs w:val="24"/>
        </w:rPr>
        <w:t xml:space="preserve"> недостоверных данных, муниципальному образованию присваивается последнее место по показателю.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Единица измерения: баллы.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Расчет показателя: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 = Z1 + Z2 + Z3 + Z4 + Z5, где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Z - значение показателя «Зарплата без долгов «Задолженность по выплате заработной платы (количество организаций, численность работников и сумма задолженности)»,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Z1 - сумма задолженности в организациях, осуществляющих деятельность на территории муниципального образования,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Z2 - количество организаций, осуществляющих деятельность на территории муниципального образования, допустивших задолженность по заработной плате,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Z3 - количество работников, перед которыми имеется задолженность по заработной плате,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Z4 - количество муниципальных учреждений и предприятий, а также организаций с муниципальной долей собственности, имеющих задолженности по заработной плате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Z5 - количество организаций с задолженностью по заработной плате свыше                             25 млн. рублей.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отсутствии задолженности по заработной плате на территории муниципального образования показатель Z равен 5 баллам.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Расчет баллов по критерию Z1: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отсутствии задолженности в организациях, расположенных на территории муниципального образования: 1 балл,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 наличии задолженности в организациях, расположенных на территории муниципального образования: выстраивается рейтинг по критерию Z1 в зависимости от суммы задолженности от наименьшего значения </w:t>
      </w:r>
      <w:proofErr w:type="gramStart"/>
      <w:r>
        <w:rPr>
          <w:rFonts w:ascii="Arial" w:hAnsi="Arial" w:cs="Arial"/>
          <w:sz w:val="24"/>
          <w:szCs w:val="24"/>
        </w:rPr>
        <w:t>к</w:t>
      </w:r>
      <w:proofErr w:type="gramEnd"/>
      <w:r>
        <w:rPr>
          <w:rFonts w:ascii="Arial" w:hAnsi="Arial" w:cs="Arial"/>
          <w:sz w:val="24"/>
          <w:szCs w:val="24"/>
        </w:rPr>
        <w:t xml:space="preserve"> наибольшему. Муниципальному образованию, имеющему наименьшую сумму задолженности, присваивается 2 балла, далее к 2 баллам прибавляется по 1 баллу за каждый уровень рейтинга критерия Z1.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Расчет баллов по критерию Z2: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отсутствии организаций, имеющих задолженность по выплате заработной платы: 1 балл,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наличии организаций, имеющих задолженность по выплате заработной платы: выстраивается рейтинг по критерию Z2 в зависимости от количества организаций от наименьшего значения </w:t>
      </w:r>
      <w:proofErr w:type="gramStart"/>
      <w:r>
        <w:rPr>
          <w:rFonts w:ascii="Arial" w:hAnsi="Arial" w:cs="Arial"/>
          <w:sz w:val="24"/>
          <w:szCs w:val="24"/>
        </w:rPr>
        <w:t>к</w:t>
      </w:r>
      <w:proofErr w:type="gramEnd"/>
      <w:r>
        <w:rPr>
          <w:rFonts w:ascii="Arial" w:hAnsi="Arial" w:cs="Arial"/>
          <w:sz w:val="24"/>
          <w:szCs w:val="24"/>
        </w:rPr>
        <w:t xml:space="preserve"> наибольшему. Муниципальному образованию, имеющему наименьшее количество организаций, присваивается 2 балла, далее к 2 баллам прибавляется по 1 баллу за каждый уровень рейтинга критерия Z2.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Расчет баллов по критерию Z3: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отсутствии задолженности: 1 балл,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наличии работников, перед которыми имеется задолженность по выплате заработной платы: выстраивается рейтинг по критерию Z3 в зависимости от количества работников, перед которыми имеется задолженность по выплате заработной платы от наименьшего значения </w:t>
      </w:r>
      <w:proofErr w:type="gramStart"/>
      <w:r>
        <w:rPr>
          <w:rFonts w:ascii="Arial" w:hAnsi="Arial" w:cs="Arial"/>
          <w:sz w:val="24"/>
          <w:szCs w:val="24"/>
        </w:rPr>
        <w:t>к</w:t>
      </w:r>
      <w:proofErr w:type="gramEnd"/>
      <w:r>
        <w:rPr>
          <w:rFonts w:ascii="Arial" w:hAnsi="Arial" w:cs="Arial"/>
          <w:sz w:val="24"/>
          <w:szCs w:val="24"/>
        </w:rPr>
        <w:t xml:space="preserve"> наибольшему. Муниципальному образованию, имеющему наименьшее количество работников, перед которыми имеется задолженность по выплате заработной платы, присваивается 2 балла, далее к 2 баллам прибавляется по 1 баллу за каждый уровень рейтинга критерия Z3.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Расчет баллов по критерию Z4: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отсутствии задолженности по заработной плате в муниципальных учреждениях и предприятиях, а также организациях с муниципальной долей собственности: 1 балл,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наличии задолженности по заработной плате в муниципальных учреждениях и предприятиях, а также организациях с муниципальной долей собственности: выстраивается рейтинг по критерию Z4 в зависимости от количества учреждений и предприятий, а также организаций с муниципальной долей собственности, </w:t>
      </w:r>
      <w:proofErr w:type="gramStart"/>
      <w:r>
        <w:rPr>
          <w:rFonts w:ascii="Arial" w:hAnsi="Arial" w:cs="Arial"/>
          <w:sz w:val="24"/>
          <w:szCs w:val="24"/>
        </w:rPr>
        <w:t>имеющим</w:t>
      </w:r>
      <w:proofErr w:type="gramEnd"/>
      <w:r>
        <w:rPr>
          <w:rFonts w:ascii="Arial" w:hAnsi="Arial" w:cs="Arial"/>
          <w:sz w:val="24"/>
          <w:szCs w:val="24"/>
        </w:rPr>
        <w:t xml:space="preserve"> задолженность по выплате заработной платы, от наименьшего значения к наибольшему. Муниципальному образованию, имеющему задолженность по выплате заработной платы в наименьшем количестве учреждений и предприятий, а также организаций с муниципальной долей собственности, имеющих задолженность по выплате заработной платы, присваивается 2 балла, далее к 2 баллам прибавляется по 1 баллу за каждый уровень рейтинга критерия Z4.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Расчет баллов по критерию Z5: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отсутствии организаций с задолженностью по заработной плате свыше 25 млн. рублей: 1 балл,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 наличии организаций с задолженностью по заработной плате свыше 25 млн. рублей: выстраивается рейтинг по критерию Z5 в зависимости от количества организаций с задолженностью по заработной плате свыше 25 млн. рублей от наименьшего значения </w:t>
      </w:r>
      <w:proofErr w:type="gramStart"/>
      <w:r>
        <w:rPr>
          <w:rFonts w:ascii="Arial" w:hAnsi="Arial" w:cs="Arial"/>
          <w:sz w:val="24"/>
          <w:szCs w:val="24"/>
        </w:rPr>
        <w:t>к</w:t>
      </w:r>
      <w:proofErr w:type="gramEnd"/>
      <w:r>
        <w:rPr>
          <w:rFonts w:ascii="Arial" w:hAnsi="Arial" w:cs="Arial"/>
          <w:sz w:val="24"/>
          <w:szCs w:val="24"/>
        </w:rPr>
        <w:t xml:space="preserve"> наибольшему. Муниципальному образованию, имеющему наименьшее количество организаций с задолженностью по заработной плате свыше 25 млн. рублей, присваивается 2 балла, далее к 2 баллам прибавляется по 1 баллу за каждый уровень рейтинга критерия Z5.</w:t>
      </w:r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3468E0" w:rsidRDefault="003468E0" w:rsidP="003468E0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9. </w:t>
      </w:r>
      <w:hyperlink r:id="rId6" w:history="1">
        <w:r>
          <w:rPr>
            <w:rStyle w:val="a3"/>
            <w:rFonts w:ascii="Arial" w:hAnsi="Arial" w:cs="Arial"/>
            <w:b/>
            <w:color w:val="333333"/>
            <w:sz w:val="24"/>
            <w:szCs w:val="24"/>
          </w:rPr>
          <w:t xml:space="preserve">Зарплата бюджетников - Достижение (поддержание) средней заработной платы работников социальной сферы в </w:t>
        </w:r>
        <w:proofErr w:type="spellStart"/>
        <w:r>
          <w:rPr>
            <w:rStyle w:val="a3"/>
            <w:rFonts w:ascii="Arial" w:hAnsi="Arial" w:cs="Arial"/>
            <w:b/>
            <w:color w:val="333333"/>
            <w:sz w:val="24"/>
            <w:szCs w:val="24"/>
          </w:rPr>
          <w:t>соответсвии</w:t>
        </w:r>
        <w:proofErr w:type="spellEnd"/>
        <w:r>
          <w:rPr>
            <w:rStyle w:val="a3"/>
            <w:rFonts w:ascii="Arial" w:hAnsi="Arial" w:cs="Arial"/>
            <w:b/>
            <w:color w:val="333333"/>
            <w:sz w:val="24"/>
            <w:szCs w:val="24"/>
          </w:rPr>
          <w:t xml:space="preserve"> с майскими Указами Президента 2012 года</w:t>
        </w:r>
      </w:hyperlink>
    </w:p>
    <w:p w:rsidR="003468E0" w:rsidRDefault="003468E0" w:rsidP="003468E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Единица измерения: процент.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Оценка проводится с учетом сведений уровня достижения целевых показателей по следующим категориям работников муниципальных учреждений: 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педагогические работники образовательных учреждений общего образования;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педагогические работники дошкольных образовательных учреждений;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педагогические работники образовательных, медицинских организаций или организаций, оказывающих социальные услуги детям-сиротам и детям, оставшимся без попечения родителей,  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педагогических работников учреждений дополнительного образования детей,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работники учреждений культуры.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Оценка достижения показателя </w:t>
      </w:r>
      <w:proofErr w:type="spellStart"/>
      <w:r>
        <w:rPr>
          <w:rFonts w:ascii="Arial" w:hAnsi="Arial" w:cs="Arial"/>
          <w:sz w:val="24"/>
          <w:szCs w:val="24"/>
        </w:rPr>
        <w:t>Sz</w:t>
      </w:r>
      <w:proofErr w:type="spellEnd"/>
      <w:r>
        <w:rPr>
          <w:rFonts w:ascii="Arial" w:hAnsi="Arial" w:cs="Arial"/>
          <w:sz w:val="24"/>
          <w:szCs w:val="24"/>
        </w:rPr>
        <w:t xml:space="preserve"> осуществляется по формуле: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Sz</w:t>
      </w:r>
      <w:proofErr w:type="spellEnd"/>
      <w:r>
        <w:rPr>
          <w:rFonts w:ascii="Arial" w:hAnsi="Arial" w:cs="Arial"/>
          <w:sz w:val="24"/>
          <w:szCs w:val="24"/>
        </w:rPr>
        <w:t xml:space="preserve"> = (</w:t>
      </w:r>
      <w:proofErr w:type="spellStart"/>
      <w:r>
        <w:rPr>
          <w:rFonts w:ascii="Arial" w:hAnsi="Arial" w:cs="Arial"/>
          <w:sz w:val="24"/>
          <w:szCs w:val="24"/>
        </w:rPr>
        <w:t>Здоп+Зобщ</w:t>
      </w:r>
      <w:proofErr w:type="spellEnd"/>
      <w:r>
        <w:rPr>
          <w:rFonts w:ascii="Arial" w:hAnsi="Arial" w:cs="Arial"/>
          <w:sz w:val="24"/>
          <w:szCs w:val="24"/>
        </w:rPr>
        <w:t xml:space="preserve"> +</w:t>
      </w:r>
      <w:proofErr w:type="spellStart"/>
      <w:r>
        <w:rPr>
          <w:rFonts w:ascii="Arial" w:hAnsi="Arial" w:cs="Arial"/>
          <w:sz w:val="24"/>
          <w:szCs w:val="24"/>
        </w:rPr>
        <w:t>Здош+Зсир+Зкул</w:t>
      </w:r>
      <w:proofErr w:type="spellEnd"/>
      <w:r>
        <w:rPr>
          <w:rFonts w:ascii="Arial" w:hAnsi="Arial" w:cs="Arial"/>
          <w:sz w:val="24"/>
          <w:szCs w:val="24"/>
        </w:rPr>
        <w:t>) /N, где: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 – количество показателей в числителе формулы,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Здо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>–</w:t>
      </w:r>
      <w:proofErr w:type="gramEnd"/>
      <w:r>
        <w:rPr>
          <w:rFonts w:ascii="Arial" w:hAnsi="Arial" w:cs="Arial"/>
          <w:sz w:val="24"/>
          <w:szCs w:val="24"/>
        </w:rPr>
        <w:t xml:space="preserve"> значение достижения целевого показателя педагогических работников</w:t>
      </w:r>
      <w:r w:rsidR="00944FA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муниципальных учреждений дополнительного образования детей сфер образования, культуры и физической культуры и спорта,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Зоб</w:t>
      </w:r>
      <w:proofErr w:type="gramStart"/>
      <w:r>
        <w:rPr>
          <w:rFonts w:ascii="Arial" w:hAnsi="Arial" w:cs="Arial"/>
          <w:sz w:val="24"/>
          <w:szCs w:val="24"/>
        </w:rPr>
        <w:t>щ</w:t>
      </w:r>
      <w:proofErr w:type="spellEnd"/>
      <w:r>
        <w:rPr>
          <w:rFonts w:ascii="Arial" w:hAnsi="Arial" w:cs="Arial"/>
          <w:sz w:val="24"/>
          <w:szCs w:val="24"/>
        </w:rPr>
        <w:t>–</w:t>
      </w:r>
      <w:proofErr w:type="gramEnd"/>
      <w:r>
        <w:rPr>
          <w:rFonts w:ascii="Arial" w:hAnsi="Arial" w:cs="Arial"/>
          <w:sz w:val="24"/>
          <w:szCs w:val="24"/>
        </w:rPr>
        <w:t xml:space="preserve"> значение достижения целевого показателя педагогических работников</w:t>
      </w:r>
      <w:r w:rsidR="00944FA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муниципальных образовательных учреждений общего образования,  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Здош</w:t>
      </w:r>
      <w:proofErr w:type="spellEnd"/>
      <w:r>
        <w:rPr>
          <w:rFonts w:ascii="Arial" w:hAnsi="Arial" w:cs="Arial"/>
          <w:sz w:val="24"/>
          <w:szCs w:val="24"/>
        </w:rPr>
        <w:t xml:space="preserve"> – значение </w:t>
      </w:r>
      <w:proofErr w:type="gramStart"/>
      <w:r>
        <w:rPr>
          <w:rFonts w:ascii="Arial" w:hAnsi="Arial" w:cs="Arial"/>
          <w:sz w:val="24"/>
          <w:szCs w:val="24"/>
        </w:rPr>
        <w:t>достижения целевого показателя педагогических работников</w:t>
      </w:r>
      <w:r w:rsidR="00944FA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муниципальных образовательных учреждений</w:t>
      </w:r>
      <w:r w:rsidR="00944FA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дошкольного образования</w:t>
      </w:r>
      <w:proofErr w:type="gramEnd"/>
      <w:r>
        <w:rPr>
          <w:rFonts w:ascii="Arial" w:hAnsi="Arial" w:cs="Arial"/>
          <w:sz w:val="24"/>
          <w:szCs w:val="24"/>
        </w:rPr>
        <w:t>,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Зсир</w:t>
      </w:r>
      <w:proofErr w:type="spellEnd"/>
      <w:r>
        <w:rPr>
          <w:rFonts w:ascii="Arial" w:hAnsi="Arial" w:cs="Arial"/>
          <w:sz w:val="24"/>
          <w:szCs w:val="24"/>
        </w:rPr>
        <w:t xml:space="preserve"> – значение достижения целевого показателя педагогических работников</w:t>
      </w:r>
      <w:r w:rsidR="00944FA6">
        <w:rPr>
          <w:rFonts w:ascii="Arial" w:hAnsi="Arial" w:cs="Arial"/>
          <w:sz w:val="24"/>
          <w:szCs w:val="24"/>
        </w:rPr>
        <w:t xml:space="preserve"> </w:t>
      </w:r>
      <w:bookmarkStart w:id="4" w:name="_GoBack"/>
      <w:bookmarkEnd w:id="4"/>
      <w:r>
        <w:rPr>
          <w:rFonts w:ascii="Arial" w:hAnsi="Arial" w:cs="Arial"/>
          <w:sz w:val="24"/>
          <w:szCs w:val="24"/>
        </w:rPr>
        <w:t xml:space="preserve">муниципальных образовательных, муниципальных медицинских организаций или муниципальных организаций, оказывающих социальные услуги детям-сиротам и детям, оставшимся без попечения родителей, сферы образования, 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Зкул</w:t>
      </w:r>
      <w:proofErr w:type="spellEnd"/>
      <w:r>
        <w:rPr>
          <w:rFonts w:ascii="Arial" w:hAnsi="Arial" w:cs="Arial"/>
          <w:sz w:val="24"/>
          <w:szCs w:val="24"/>
        </w:rPr>
        <w:t xml:space="preserve"> – значение </w:t>
      </w:r>
      <w:proofErr w:type="gramStart"/>
      <w:r>
        <w:rPr>
          <w:rFonts w:ascii="Arial" w:hAnsi="Arial" w:cs="Arial"/>
          <w:sz w:val="24"/>
          <w:szCs w:val="24"/>
        </w:rPr>
        <w:t>достижения целевого показателя работников муниципальных учреждений культуры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n                                       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1)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Здоп</w:t>
      </w:r>
      <w:proofErr w:type="spellEnd"/>
      <w:r>
        <w:rPr>
          <w:rFonts w:ascii="Arial" w:hAnsi="Arial" w:cs="Arial"/>
          <w:sz w:val="24"/>
          <w:szCs w:val="24"/>
        </w:rPr>
        <w:t xml:space="preserve"> = (SUM </w:t>
      </w:r>
      <w:proofErr w:type="spellStart"/>
      <w:r>
        <w:rPr>
          <w:rFonts w:ascii="Arial" w:hAnsi="Arial" w:cs="Arial"/>
          <w:sz w:val="24"/>
          <w:szCs w:val="24"/>
        </w:rPr>
        <w:t>Фдо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>(</w:t>
      </w:r>
      <w:proofErr w:type="gramEnd"/>
      <w:r>
        <w:rPr>
          <w:rFonts w:ascii="Arial" w:hAnsi="Arial" w:cs="Arial"/>
          <w:sz w:val="24"/>
          <w:szCs w:val="24"/>
        </w:rPr>
        <w:t xml:space="preserve">факт) i / SUM i) / </w:t>
      </w:r>
      <w:proofErr w:type="spellStart"/>
      <w:r>
        <w:rPr>
          <w:rFonts w:ascii="Arial" w:hAnsi="Arial" w:cs="Arial"/>
          <w:sz w:val="24"/>
          <w:szCs w:val="24"/>
        </w:rPr>
        <w:t>Здоп</w:t>
      </w:r>
      <w:proofErr w:type="spellEnd"/>
      <w:r>
        <w:rPr>
          <w:rFonts w:ascii="Arial" w:hAnsi="Arial" w:cs="Arial"/>
          <w:sz w:val="24"/>
          <w:szCs w:val="24"/>
        </w:rPr>
        <w:t xml:space="preserve"> (план) х 100%,    где: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i=1                                     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Фдоп</w:t>
      </w:r>
      <w:proofErr w:type="spellEnd"/>
      <w:r>
        <w:rPr>
          <w:rFonts w:ascii="Arial" w:hAnsi="Arial" w:cs="Arial"/>
          <w:sz w:val="24"/>
          <w:szCs w:val="24"/>
        </w:rPr>
        <w:t xml:space="preserve"> (факт) i  – фактическое значение фонда оплаты труда педагогических </w:t>
      </w:r>
      <w:proofErr w:type="spellStart"/>
      <w:r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>
        <w:rPr>
          <w:rFonts w:ascii="Arial" w:hAnsi="Arial" w:cs="Arial"/>
          <w:sz w:val="24"/>
          <w:szCs w:val="24"/>
        </w:rPr>
        <w:t xml:space="preserve">  учреждений дополнительного образования детей сфер физической культуры и спорта, образования;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Здоп</w:t>
      </w:r>
      <w:proofErr w:type="spellEnd"/>
      <w:r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</w:t>
      </w:r>
      <w:proofErr w:type="gramStart"/>
      <w:r>
        <w:rPr>
          <w:rFonts w:ascii="Arial" w:hAnsi="Arial" w:cs="Arial"/>
          <w:sz w:val="24"/>
          <w:szCs w:val="24"/>
        </w:rPr>
        <w:t>платы педагогических работников учреждений дополнительного образования детей Московской области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 = 1…n – общее количество педагогических </w:t>
      </w:r>
      <w:proofErr w:type="spellStart"/>
      <w:r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>
        <w:rPr>
          <w:rFonts w:ascii="Arial" w:hAnsi="Arial" w:cs="Arial"/>
          <w:sz w:val="24"/>
          <w:szCs w:val="24"/>
        </w:rPr>
        <w:t xml:space="preserve"> учреждений дополнительного образования детей сфер физической культуры и спорта, образования.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Фдоп</w:t>
      </w:r>
      <w:proofErr w:type="spellEnd"/>
      <w:r>
        <w:rPr>
          <w:rFonts w:ascii="Arial" w:hAnsi="Arial" w:cs="Arial"/>
          <w:sz w:val="24"/>
          <w:szCs w:val="24"/>
        </w:rPr>
        <w:t xml:space="preserve"> (факт) i  =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SUM</w:t>
      </w:r>
      <w:proofErr w:type="gramEnd"/>
      <w:r>
        <w:rPr>
          <w:rFonts w:ascii="Arial" w:hAnsi="Arial" w:cs="Arial"/>
          <w:sz w:val="24"/>
          <w:szCs w:val="24"/>
        </w:rPr>
        <w:t>Фдопобр</w:t>
      </w:r>
      <w:proofErr w:type="spellEnd"/>
      <w:r>
        <w:rPr>
          <w:rFonts w:ascii="Arial" w:hAnsi="Arial" w:cs="Arial"/>
          <w:sz w:val="24"/>
          <w:szCs w:val="24"/>
        </w:rPr>
        <w:t xml:space="preserve"> (факт) i  +</w:t>
      </w:r>
      <w:proofErr w:type="spellStart"/>
      <w:r>
        <w:rPr>
          <w:rFonts w:ascii="Arial" w:hAnsi="Arial" w:cs="Arial"/>
          <w:sz w:val="24"/>
          <w:szCs w:val="24"/>
        </w:rPr>
        <w:t>SUMФдопспорт</w:t>
      </w:r>
      <w:proofErr w:type="spellEnd"/>
      <w:r>
        <w:rPr>
          <w:rFonts w:ascii="Arial" w:hAnsi="Arial" w:cs="Arial"/>
          <w:sz w:val="24"/>
          <w:szCs w:val="24"/>
        </w:rPr>
        <w:t xml:space="preserve"> (факт) i  , где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Фдопобр</w:t>
      </w:r>
      <w:proofErr w:type="spellEnd"/>
      <w:r>
        <w:rPr>
          <w:rFonts w:ascii="Arial" w:hAnsi="Arial" w:cs="Arial"/>
          <w:sz w:val="24"/>
          <w:szCs w:val="24"/>
        </w:rPr>
        <w:t xml:space="preserve"> (факт) i - фонд оплаты труда педагогических </w:t>
      </w:r>
      <w:proofErr w:type="spellStart"/>
      <w:r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>
        <w:rPr>
          <w:rFonts w:ascii="Arial" w:hAnsi="Arial" w:cs="Arial"/>
          <w:sz w:val="24"/>
          <w:szCs w:val="24"/>
        </w:rPr>
        <w:t xml:space="preserve"> учреждений дополнительного образования детей сферы образования,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Фдопспорт</w:t>
      </w:r>
      <w:proofErr w:type="spellEnd"/>
      <w:r>
        <w:rPr>
          <w:rFonts w:ascii="Arial" w:hAnsi="Arial" w:cs="Arial"/>
          <w:sz w:val="24"/>
          <w:szCs w:val="24"/>
        </w:rPr>
        <w:t xml:space="preserve"> (факт) i -фонд оплаты труда педагогических </w:t>
      </w:r>
      <w:proofErr w:type="spellStart"/>
      <w:r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>
        <w:rPr>
          <w:rFonts w:ascii="Arial" w:hAnsi="Arial" w:cs="Arial"/>
          <w:sz w:val="24"/>
          <w:szCs w:val="24"/>
        </w:rPr>
        <w:t xml:space="preserve">  учреждений дополнительного образования детей сферы физической культуры и спорта.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</w:t>
      </w:r>
      <w:proofErr w:type="gramStart"/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>
        <w:rPr>
          <w:rFonts w:ascii="Arial" w:hAnsi="Arial" w:cs="Arial"/>
          <w:sz w:val="24"/>
          <w:szCs w:val="24"/>
        </w:rPr>
        <w:t>Здоп</w:t>
      </w:r>
      <w:proofErr w:type="spellEnd"/>
      <w:r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>
        <w:rPr>
          <w:rFonts w:ascii="Arial" w:hAnsi="Arial" w:cs="Arial"/>
          <w:sz w:val="24"/>
          <w:szCs w:val="24"/>
        </w:rPr>
        <w:t>Здоп</w:t>
      </w:r>
      <w:proofErr w:type="spellEnd"/>
      <w:r>
        <w:rPr>
          <w:rFonts w:ascii="Arial" w:hAnsi="Arial" w:cs="Arial"/>
          <w:sz w:val="24"/>
          <w:szCs w:val="24"/>
        </w:rPr>
        <w:t xml:space="preserve"> считается равным 100%. 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proofErr w:type="spellStart"/>
      <w:r>
        <w:rPr>
          <w:rFonts w:ascii="Arial" w:hAnsi="Arial" w:cs="Arial"/>
          <w:sz w:val="24"/>
          <w:szCs w:val="24"/>
        </w:rPr>
        <w:t>Зобщ</w:t>
      </w:r>
      <w:proofErr w:type="spellEnd"/>
      <w:r>
        <w:rPr>
          <w:rFonts w:ascii="Arial" w:hAnsi="Arial" w:cs="Arial"/>
          <w:sz w:val="24"/>
          <w:szCs w:val="24"/>
        </w:rPr>
        <w:t xml:space="preserve">= (SUM </w:t>
      </w:r>
      <w:proofErr w:type="spellStart"/>
      <w:r>
        <w:rPr>
          <w:rFonts w:ascii="Arial" w:hAnsi="Arial" w:cs="Arial"/>
          <w:sz w:val="24"/>
          <w:szCs w:val="24"/>
        </w:rPr>
        <w:t>Фобщ</w:t>
      </w:r>
      <w:proofErr w:type="spellEnd"/>
      <w:r>
        <w:rPr>
          <w:rFonts w:ascii="Arial" w:hAnsi="Arial" w:cs="Arial"/>
          <w:sz w:val="24"/>
          <w:szCs w:val="24"/>
        </w:rPr>
        <w:t xml:space="preserve"> (факт) i / SUM i) / </w:t>
      </w:r>
      <w:proofErr w:type="spellStart"/>
      <w:r>
        <w:rPr>
          <w:rFonts w:ascii="Arial" w:hAnsi="Arial" w:cs="Arial"/>
          <w:sz w:val="24"/>
          <w:szCs w:val="24"/>
        </w:rPr>
        <w:t>Зобщ</w:t>
      </w:r>
      <w:proofErr w:type="spellEnd"/>
      <w:r>
        <w:rPr>
          <w:rFonts w:ascii="Arial" w:hAnsi="Arial" w:cs="Arial"/>
          <w:sz w:val="24"/>
          <w:szCs w:val="24"/>
        </w:rPr>
        <w:t xml:space="preserve"> (план)  х 100%,    где: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i=1                                     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Фобщ</w:t>
      </w:r>
      <w:proofErr w:type="spellEnd"/>
      <w:r>
        <w:rPr>
          <w:rFonts w:ascii="Arial" w:hAnsi="Arial" w:cs="Arial"/>
          <w:sz w:val="24"/>
          <w:szCs w:val="24"/>
        </w:rPr>
        <w:t xml:space="preserve"> (факт) i  – фактическое значение </w:t>
      </w:r>
      <w:proofErr w:type="gramStart"/>
      <w:r>
        <w:rPr>
          <w:rFonts w:ascii="Arial" w:hAnsi="Arial" w:cs="Arial"/>
          <w:sz w:val="24"/>
          <w:szCs w:val="24"/>
        </w:rPr>
        <w:t>фонда оплаты труда педагогических работников образовательных муниципальных учреждений общего образования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Зобщ</w:t>
      </w:r>
      <w:proofErr w:type="spellEnd"/>
      <w:r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платы педагогических работников образовательных учреждений общего образования Московской области;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= 1…n – общее количество педагогических работников образовательных муниципальных учреждений общего образования.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</w:t>
      </w:r>
      <w:proofErr w:type="gramStart"/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>
        <w:rPr>
          <w:rFonts w:ascii="Arial" w:hAnsi="Arial" w:cs="Arial"/>
          <w:sz w:val="24"/>
          <w:szCs w:val="24"/>
        </w:rPr>
        <w:t>Зобщ</w:t>
      </w:r>
      <w:proofErr w:type="spellEnd"/>
      <w:r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>
        <w:rPr>
          <w:rFonts w:ascii="Arial" w:hAnsi="Arial" w:cs="Arial"/>
          <w:sz w:val="24"/>
          <w:szCs w:val="24"/>
        </w:rPr>
        <w:t>Зобщ</w:t>
      </w:r>
      <w:proofErr w:type="spellEnd"/>
      <w:r>
        <w:rPr>
          <w:rFonts w:ascii="Arial" w:hAnsi="Arial" w:cs="Arial"/>
          <w:sz w:val="24"/>
          <w:szCs w:val="24"/>
        </w:rPr>
        <w:t xml:space="preserve"> считается равным 100%. 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</w:t>
      </w:r>
      <w:proofErr w:type="spellStart"/>
      <w:r>
        <w:rPr>
          <w:rFonts w:ascii="Arial" w:hAnsi="Arial" w:cs="Arial"/>
          <w:sz w:val="24"/>
          <w:szCs w:val="24"/>
        </w:rPr>
        <w:t>Здош</w:t>
      </w:r>
      <w:proofErr w:type="spellEnd"/>
      <w:r>
        <w:rPr>
          <w:rFonts w:ascii="Arial" w:hAnsi="Arial" w:cs="Arial"/>
          <w:sz w:val="24"/>
          <w:szCs w:val="24"/>
        </w:rPr>
        <w:t xml:space="preserve">= (SUM </w:t>
      </w:r>
      <w:proofErr w:type="spellStart"/>
      <w:r>
        <w:rPr>
          <w:rFonts w:ascii="Arial" w:hAnsi="Arial" w:cs="Arial"/>
          <w:sz w:val="24"/>
          <w:szCs w:val="24"/>
        </w:rPr>
        <w:t>Фдош</w:t>
      </w:r>
      <w:proofErr w:type="spellEnd"/>
      <w:r>
        <w:rPr>
          <w:rFonts w:ascii="Arial" w:hAnsi="Arial" w:cs="Arial"/>
          <w:sz w:val="24"/>
          <w:szCs w:val="24"/>
        </w:rPr>
        <w:t xml:space="preserve"> (факт) i / SUM i) / </w:t>
      </w:r>
      <w:proofErr w:type="spellStart"/>
      <w:r>
        <w:rPr>
          <w:rFonts w:ascii="Arial" w:hAnsi="Arial" w:cs="Arial"/>
          <w:sz w:val="24"/>
          <w:szCs w:val="24"/>
        </w:rPr>
        <w:t>Здош</w:t>
      </w:r>
      <w:proofErr w:type="spellEnd"/>
      <w:r>
        <w:rPr>
          <w:rFonts w:ascii="Arial" w:hAnsi="Arial" w:cs="Arial"/>
          <w:sz w:val="24"/>
          <w:szCs w:val="24"/>
        </w:rPr>
        <w:t xml:space="preserve"> (план)  х 100%,        где: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i=1                                     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Фдош</w:t>
      </w:r>
      <w:proofErr w:type="spellEnd"/>
      <w:r>
        <w:rPr>
          <w:rFonts w:ascii="Arial" w:hAnsi="Arial" w:cs="Arial"/>
          <w:sz w:val="24"/>
          <w:szCs w:val="24"/>
        </w:rPr>
        <w:t xml:space="preserve"> (факт) i  – фактическое значение фонда оплаты труда педагогических </w:t>
      </w:r>
      <w:proofErr w:type="spellStart"/>
      <w:r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дошкольныхобразовательных</w:t>
      </w:r>
      <w:proofErr w:type="spellEnd"/>
      <w:r>
        <w:rPr>
          <w:rFonts w:ascii="Arial" w:hAnsi="Arial" w:cs="Arial"/>
          <w:sz w:val="24"/>
          <w:szCs w:val="24"/>
        </w:rPr>
        <w:t xml:space="preserve"> учреждений,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Здош</w:t>
      </w:r>
      <w:proofErr w:type="spellEnd"/>
      <w:r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платы педагогических работников дошкольных образовательных учреждений Московской области,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 = 1…n – общее количество педагогических </w:t>
      </w:r>
      <w:proofErr w:type="spellStart"/>
      <w:r>
        <w:rPr>
          <w:rFonts w:ascii="Arial" w:hAnsi="Arial" w:cs="Arial"/>
          <w:sz w:val="24"/>
          <w:szCs w:val="24"/>
        </w:rPr>
        <w:t>работниковмуниципальных</w:t>
      </w:r>
      <w:proofErr w:type="spellEnd"/>
      <w:r>
        <w:rPr>
          <w:rFonts w:ascii="Arial" w:hAnsi="Arial" w:cs="Arial"/>
          <w:sz w:val="24"/>
          <w:szCs w:val="24"/>
        </w:rPr>
        <w:t xml:space="preserve"> дошкольных образовательных учреждений.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</w:t>
      </w:r>
      <w:proofErr w:type="gramStart"/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>
        <w:rPr>
          <w:rFonts w:ascii="Arial" w:hAnsi="Arial" w:cs="Arial"/>
          <w:sz w:val="24"/>
          <w:szCs w:val="24"/>
        </w:rPr>
        <w:t>Здош</w:t>
      </w:r>
      <w:proofErr w:type="spellEnd"/>
      <w:r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>
        <w:rPr>
          <w:rFonts w:ascii="Arial" w:hAnsi="Arial" w:cs="Arial"/>
          <w:sz w:val="24"/>
          <w:szCs w:val="24"/>
        </w:rPr>
        <w:t>Здош</w:t>
      </w:r>
      <w:proofErr w:type="spellEnd"/>
      <w:r>
        <w:rPr>
          <w:rFonts w:ascii="Arial" w:hAnsi="Arial" w:cs="Arial"/>
          <w:sz w:val="24"/>
          <w:szCs w:val="24"/>
        </w:rPr>
        <w:t xml:space="preserve"> считается равным 100%. 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Зсир</w:t>
      </w:r>
      <w:proofErr w:type="spellEnd"/>
      <w:r>
        <w:rPr>
          <w:rFonts w:ascii="Arial" w:hAnsi="Arial" w:cs="Arial"/>
          <w:sz w:val="24"/>
          <w:szCs w:val="24"/>
        </w:rPr>
        <w:t xml:space="preserve"> = (SUM </w:t>
      </w:r>
      <w:proofErr w:type="spellStart"/>
      <w:r>
        <w:rPr>
          <w:rFonts w:ascii="Arial" w:hAnsi="Arial" w:cs="Arial"/>
          <w:sz w:val="24"/>
          <w:szCs w:val="24"/>
        </w:rPr>
        <w:t>Фсир</w:t>
      </w:r>
      <w:proofErr w:type="spellEnd"/>
      <w:r>
        <w:rPr>
          <w:rFonts w:ascii="Arial" w:hAnsi="Arial" w:cs="Arial"/>
          <w:sz w:val="24"/>
          <w:szCs w:val="24"/>
        </w:rPr>
        <w:t xml:space="preserve"> (факт) i / SUM i) / </w:t>
      </w:r>
      <w:proofErr w:type="spellStart"/>
      <w:r>
        <w:rPr>
          <w:rFonts w:ascii="Arial" w:hAnsi="Arial" w:cs="Arial"/>
          <w:sz w:val="24"/>
          <w:szCs w:val="24"/>
        </w:rPr>
        <w:t>Зсир</w:t>
      </w:r>
      <w:proofErr w:type="spellEnd"/>
      <w:r>
        <w:rPr>
          <w:rFonts w:ascii="Arial" w:hAnsi="Arial" w:cs="Arial"/>
          <w:sz w:val="24"/>
          <w:szCs w:val="24"/>
        </w:rPr>
        <w:t xml:space="preserve"> (план)  х 100%,        где: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i=1                                     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Фсир</w:t>
      </w:r>
      <w:proofErr w:type="spellEnd"/>
      <w:r>
        <w:rPr>
          <w:rFonts w:ascii="Arial" w:hAnsi="Arial" w:cs="Arial"/>
          <w:sz w:val="24"/>
          <w:szCs w:val="24"/>
        </w:rPr>
        <w:t xml:space="preserve"> (факт) i– фактическое значение фонда оплаты труда педагогических работников</w:t>
      </w:r>
      <w:r w:rsidR="00944FA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муниципальных образовательных или</w:t>
      </w:r>
      <w:r w:rsidR="00944FA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муниципальных организаций, оказывающих социальные услуги детям-сиротам и детям, оставшимся без попечения родителей, бюджетной сферы;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Зсир</w:t>
      </w:r>
      <w:proofErr w:type="spellEnd"/>
      <w:r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родителей, Московской области;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= 1…n – общее количество педагогические работники муниципальных образовательных или муниципальных организаций, оказывающих социальные услуги детям-сиротам и детям, оставшимся без попечения родителей бюджетной сферы.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n 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Фсир</w:t>
      </w:r>
      <w:proofErr w:type="spellEnd"/>
      <w:r>
        <w:rPr>
          <w:rFonts w:ascii="Arial" w:hAnsi="Arial" w:cs="Arial"/>
          <w:sz w:val="24"/>
          <w:szCs w:val="24"/>
        </w:rPr>
        <w:t xml:space="preserve"> (факт) i  =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SUM</w:t>
      </w:r>
      <w:proofErr w:type="gramEnd"/>
      <w:r>
        <w:rPr>
          <w:rFonts w:ascii="Arial" w:hAnsi="Arial" w:cs="Arial"/>
          <w:sz w:val="24"/>
          <w:szCs w:val="24"/>
        </w:rPr>
        <w:t>Фсиробр</w:t>
      </w:r>
      <w:proofErr w:type="spellEnd"/>
      <w:r>
        <w:rPr>
          <w:rFonts w:ascii="Arial" w:hAnsi="Arial" w:cs="Arial"/>
          <w:sz w:val="24"/>
          <w:szCs w:val="24"/>
        </w:rPr>
        <w:t xml:space="preserve"> (факт) i  +</w:t>
      </w:r>
      <w:proofErr w:type="spellStart"/>
      <w:r>
        <w:rPr>
          <w:rFonts w:ascii="Arial" w:hAnsi="Arial" w:cs="Arial"/>
          <w:sz w:val="24"/>
          <w:szCs w:val="24"/>
        </w:rPr>
        <w:t>SUMФсирпроч</w:t>
      </w:r>
      <w:proofErr w:type="spellEnd"/>
      <w:r>
        <w:rPr>
          <w:rFonts w:ascii="Arial" w:hAnsi="Arial" w:cs="Arial"/>
          <w:sz w:val="24"/>
          <w:szCs w:val="24"/>
        </w:rPr>
        <w:t xml:space="preserve"> (факт) i , где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Фсиробр</w:t>
      </w:r>
      <w:proofErr w:type="spellEnd"/>
      <w:r>
        <w:rPr>
          <w:rFonts w:ascii="Arial" w:hAnsi="Arial" w:cs="Arial"/>
          <w:sz w:val="24"/>
          <w:szCs w:val="24"/>
        </w:rPr>
        <w:t xml:space="preserve"> (факт) i  - фонд оплаты труда педагогических работников муниципальных образовательных организаций, оказывающих социальные услуги детям-сиротам и детям, оставшимся без попечения родителей,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Фсирпроч</w:t>
      </w:r>
      <w:proofErr w:type="spellEnd"/>
      <w:r>
        <w:rPr>
          <w:rFonts w:ascii="Arial" w:hAnsi="Arial" w:cs="Arial"/>
          <w:sz w:val="24"/>
          <w:szCs w:val="24"/>
        </w:rPr>
        <w:t xml:space="preserve"> (факт) i -фонд оплаты труда педагогических работников муниципальных организаций, оказывающих социальные услуги детям-сиротам и детям, оставшимся без попечения родителей бюджетной сферы.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</w:t>
      </w:r>
      <w:proofErr w:type="gramStart"/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>
        <w:rPr>
          <w:rFonts w:ascii="Arial" w:hAnsi="Arial" w:cs="Arial"/>
          <w:sz w:val="24"/>
          <w:szCs w:val="24"/>
        </w:rPr>
        <w:t>Зсир</w:t>
      </w:r>
      <w:proofErr w:type="spellEnd"/>
      <w:r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>
        <w:rPr>
          <w:rFonts w:ascii="Arial" w:hAnsi="Arial" w:cs="Arial"/>
          <w:sz w:val="24"/>
          <w:szCs w:val="24"/>
        </w:rPr>
        <w:t>Зсир</w:t>
      </w:r>
      <w:proofErr w:type="spellEnd"/>
      <w:r>
        <w:rPr>
          <w:rFonts w:ascii="Arial" w:hAnsi="Arial" w:cs="Arial"/>
          <w:sz w:val="24"/>
          <w:szCs w:val="24"/>
        </w:rPr>
        <w:t xml:space="preserve"> считается равным 100%. 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n 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5) </w:t>
      </w:r>
      <w:proofErr w:type="spellStart"/>
      <w:r>
        <w:rPr>
          <w:rFonts w:ascii="Arial" w:hAnsi="Arial" w:cs="Arial"/>
          <w:sz w:val="24"/>
          <w:szCs w:val="24"/>
        </w:rPr>
        <w:t>Зкул</w:t>
      </w:r>
      <w:proofErr w:type="spellEnd"/>
      <w:r>
        <w:rPr>
          <w:rFonts w:ascii="Arial" w:hAnsi="Arial" w:cs="Arial"/>
          <w:sz w:val="24"/>
          <w:szCs w:val="24"/>
        </w:rPr>
        <w:t xml:space="preserve">= (SUM </w:t>
      </w:r>
      <w:proofErr w:type="spellStart"/>
      <w:r>
        <w:rPr>
          <w:rFonts w:ascii="Arial" w:hAnsi="Arial" w:cs="Arial"/>
          <w:sz w:val="24"/>
          <w:szCs w:val="24"/>
        </w:rPr>
        <w:t>Фкул</w:t>
      </w:r>
      <w:proofErr w:type="spellEnd"/>
      <w:r>
        <w:rPr>
          <w:rFonts w:ascii="Arial" w:hAnsi="Arial" w:cs="Arial"/>
          <w:sz w:val="24"/>
          <w:szCs w:val="24"/>
        </w:rPr>
        <w:t xml:space="preserve"> (факт) i / SUM i) / </w:t>
      </w:r>
      <w:proofErr w:type="spellStart"/>
      <w:r>
        <w:rPr>
          <w:rFonts w:ascii="Arial" w:hAnsi="Arial" w:cs="Arial"/>
          <w:sz w:val="24"/>
          <w:szCs w:val="24"/>
        </w:rPr>
        <w:t>Зкул</w:t>
      </w:r>
      <w:proofErr w:type="spellEnd"/>
      <w:r>
        <w:rPr>
          <w:rFonts w:ascii="Arial" w:hAnsi="Arial" w:cs="Arial"/>
          <w:sz w:val="24"/>
          <w:szCs w:val="24"/>
        </w:rPr>
        <w:t xml:space="preserve"> (план)  х 100%,    где: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i=1                                     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Фкул</w:t>
      </w:r>
      <w:proofErr w:type="spellEnd"/>
      <w:r>
        <w:rPr>
          <w:rFonts w:ascii="Arial" w:hAnsi="Arial" w:cs="Arial"/>
          <w:sz w:val="24"/>
          <w:szCs w:val="24"/>
        </w:rPr>
        <w:t xml:space="preserve"> (факт) i  – фактическое значение </w:t>
      </w:r>
      <w:proofErr w:type="gramStart"/>
      <w:r>
        <w:rPr>
          <w:rFonts w:ascii="Arial" w:hAnsi="Arial" w:cs="Arial"/>
          <w:sz w:val="24"/>
          <w:szCs w:val="24"/>
        </w:rPr>
        <w:t>фонда оплаты труда работников</w:t>
      </w:r>
      <w:r w:rsidR="00944FA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муниципальных учреждений культуры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Зкул</w:t>
      </w:r>
      <w:proofErr w:type="spellEnd"/>
      <w:r>
        <w:rPr>
          <w:rFonts w:ascii="Arial" w:hAnsi="Arial" w:cs="Arial"/>
          <w:sz w:val="24"/>
          <w:szCs w:val="24"/>
        </w:rPr>
        <w:t xml:space="preserve"> (план) – плановое значение среднемесячной заработной платы работников</w:t>
      </w:r>
      <w:r w:rsidR="00944FA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культуры Московской области;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= 1…n – общее количество работников муниципальных учреждений культуры.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</w:t>
      </w:r>
      <w:proofErr w:type="gramStart"/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если значение </w:t>
      </w:r>
      <w:proofErr w:type="spellStart"/>
      <w:r>
        <w:rPr>
          <w:rFonts w:ascii="Arial" w:hAnsi="Arial" w:cs="Arial"/>
          <w:sz w:val="24"/>
          <w:szCs w:val="24"/>
        </w:rPr>
        <w:t>Зкул</w:t>
      </w:r>
      <w:proofErr w:type="spellEnd"/>
      <w:r>
        <w:rPr>
          <w:rFonts w:ascii="Arial" w:hAnsi="Arial" w:cs="Arial"/>
          <w:sz w:val="24"/>
          <w:szCs w:val="24"/>
        </w:rPr>
        <w:t xml:space="preserve"> составляет более 100%, то показатель </w:t>
      </w:r>
      <w:proofErr w:type="spellStart"/>
      <w:r>
        <w:rPr>
          <w:rFonts w:ascii="Arial" w:hAnsi="Arial" w:cs="Arial"/>
          <w:sz w:val="24"/>
          <w:szCs w:val="24"/>
        </w:rPr>
        <w:t>Зкул</w:t>
      </w:r>
      <w:proofErr w:type="spellEnd"/>
      <w:r>
        <w:rPr>
          <w:rFonts w:ascii="Arial" w:hAnsi="Arial" w:cs="Arial"/>
          <w:sz w:val="24"/>
          <w:szCs w:val="24"/>
        </w:rPr>
        <w:t xml:space="preserve"> считается равным 100%.</w:t>
      </w: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468E0" w:rsidRDefault="003468E0" w:rsidP="003468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73A1A" w:rsidRDefault="00973A1A"/>
    <w:sectPr w:rsidR="00973A1A" w:rsidSect="003468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39E1"/>
    <w:multiLevelType w:val="hybridMultilevel"/>
    <w:tmpl w:val="4E06A1DE"/>
    <w:lvl w:ilvl="0" w:tplc="02503158">
      <w:start w:val="1"/>
      <w:numFmt w:val="decimal"/>
      <w:lvlText w:val="%1."/>
      <w:lvlJc w:val="left"/>
      <w:pPr>
        <w:ind w:left="927" w:hanging="360"/>
      </w:pPr>
      <w:rPr>
        <w:rFonts w:eastAsia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B41189"/>
    <w:multiLevelType w:val="hybridMultilevel"/>
    <w:tmpl w:val="9BE2D882"/>
    <w:lvl w:ilvl="0" w:tplc="0E9A7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586E0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2AE4A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EAC6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CAC23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D098F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AC0564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9E4A98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F761C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212D7762"/>
    <w:multiLevelType w:val="hybridMultilevel"/>
    <w:tmpl w:val="7DE8CC82"/>
    <w:lvl w:ilvl="0" w:tplc="2AE4B744">
      <w:start w:val="1"/>
      <w:numFmt w:val="decimal"/>
      <w:lvlText w:val="%1."/>
      <w:lvlJc w:val="left"/>
      <w:pPr>
        <w:ind w:left="786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A1A"/>
    <w:rsid w:val="003468E0"/>
    <w:rsid w:val="00944FA6"/>
    <w:rsid w:val="0097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68E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68E0"/>
    <w:rPr>
      <w:color w:val="800080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3468E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3468E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468E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3468E0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468E0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3468E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Абзац списка Знак"/>
    <w:link w:val="ac"/>
    <w:uiPriority w:val="34"/>
    <w:locked/>
    <w:rsid w:val="003468E0"/>
  </w:style>
  <w:style w:type="paragraph" w:styleId="ac">
    <w:name w:val="List Paragraph"/>
    <w:basedOn w:val="a"/>
    <w:link w:val="ab"/>
    <w:uiPriority w:val="34"/>
    <w:qFormat/>
    <w:rsid w:val="003468E0"/>
    <w:pPr>
      <w:ind w:left="720"/>
      <w:contextualSpacing/>
    </w:pPr>
  </w:style>
  <w:style w:type="paragraph" w:customStyle="1" w:styleId="1">
    <w:name w:val="Без интервала1"/>
    <w:rsid w:val="003468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3468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346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468E0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3468E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3468E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468E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468E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468E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468E0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468E0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468E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468E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468E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468E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468E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468E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468E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468E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d">
    <w:name w:val="Основной текст_"/>
    <w:basedOn w:val="a0"/>
    <w:link w:val="2"/>
    <w:locked/>
    <w:rsid w:val="003468E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d"/>
    <w:rsid w:val="003468E0"/>
    <w:pPr>
      <w:widowControl w:val="0"/>
      <w:shd w:val="clear" w:color="auto" w:fill="FFFFFF"/>
      <w:spacing w:after="0" w:line="317" w:lineRule="exact"/>
      <w:ind w:hanging="5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Exact">
    <w:name w:val="Основной текст (4) Exact"/>
    <w:basedOn w:val="a0"/>
    <w:link w:val="4"/>
    <w:locked/>
    <w:rsid w:val="003468E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3468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0">
    <w:name w:val="Основной текст (2)_"/>
    <w:basedOn w:val="a0"/>
    <w:link w:val="21"/>
    <w:locked/>
    <w:rsid w:val="003468E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3468E0"/>
    <w:pPr>
      <w:widowControl w:val="0"/>
      <w:shd w:val="clear" w:color="auto" w:fill="FFFFFF"/>
      <w:spacing w:after="0" w:line="312" w:lineRule="exact"/>
      <w:ind w:hanging="56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">
    <w:name w:val="Основной текст (3)_"/>
    <w:basedOn w:val="a0"/>
    <w:link w:val="30"/>
    <w:locked/>
    <w:rsid w:val="003468E0"/>
    <w:rPr>
      <w:rFonts w:ascii="Century Gothic" w:eastAsia="Century Gothic" w:hAnsi="Century Gothic" w:cs="Century Gothic"/>
      <w:sz w:val="8"/>
      <w:szCs w:val="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468E0"/>
    <w:pPr>
      <w:widowControl w:val="0"/>
      <w:shd w:val="clear" w:color="auto" w:fill="FFFFFF"/>
      <w:spacing w:after="0" w:line="0" w:lineRule="atLeast"/>
    </w:pPr>
    <w:rPr>
      <w:rFonts w:ascii="Century Gothic" w:eastAsia="Century Gothic" w:hAnsi="Century Gothic" w:cs="Century Gothic"/>
      <w:sz w:val="8"/>
      <w:szCs w:val="8"/>
    </w:rPr>
  </w:style>
  <w:style w:type="paragraph" w:customStyle="1" w:styleId="31">
    <w:name w:val="Основной текст3"/>
    <w:basedOn w:val="a"/>
    <w:rsid w:val="003468E0"/>
    <w:pPr>
      <w:widowControl w:val="0"/>
      <w:shd w:val="clear" w:color="auto" w:fill="FFFFFF"/>
      <w:spacing w:after="0" w:line="307" w:lineRule="exact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2">
    <w:name w:val="Заголовок №2_"/>
    <w:basedOn w:val="a0"/>
    <w:link w:val="23"/>
    <w:locked/>
    <w:rsid w:val="003468E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3">
    <w:name w:val="Заголовок №2"/>
    <w:basedOn w:val="a"/>
    <w:link w:val="22"/>
    <w:rsid w:val="003468E0"/>
    <w:pPr>
      <w:widowControl w:val="0"/>
      <w:shd w:val="clear" w:color="auto" w:fill="FFFFFF"/>
      <w:spacing w:before="360" w:after="0" w:line="374" w:lineRule="exact"/>
      <w:ind w:firstLine="700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Exact">
    <w:name w:val="Основной текст Exact"/>
    <w:basedOn w:val="a0"/>
    <w:rsid w:val="003468E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u w:val="none"/>
      <w:effect w:val="none"/>
    </w:rPr>
  </w:style>
  <w:style w:type="character" w:customStyle="1" w:styleId="ae">
    <w:name w:val="Основной текст + Полужирный"/>
    <w:basedOn w:val="ad"/>
    <w:rsid w:val="003468E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table" w:styleId="af">
    <w:name w:val="Table Grid"/>
    <w:basedOn w:val="a1"/>
    <w:uiPriority w:val="59"/>
    <w:rsid w:val="003468E0"/>
    <w:pPr>
      <w:spacing w:after="0" w:line="240" w:lineRule="auto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68E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68E0"/>
    <w:rPr>
      <w:color w:val="800080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3468E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3468E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468E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3468E0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468E0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3468E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Абзац списка Знак"/>
    <w:link w:val="ac"/>
    <w:uiPriority w:val="34"/>
    <w:locked/>
    <w:rsid w:val="003468E0"/>
  </w:style>
  <w:style w:type="paragraph" w:styleId="ac">
    <w:name w:val="List Paragraph"/>
    <w:basedOn w:val="a"/>
    <w:link w:val="ab"/>
    <w:uiPriority w:val="34"/>
    <w:qFormat/>
    <w:rsid w:val="003468E0"/>
    <w:pPr>
      <w:ind w:left="720"/>
      <w:contextualSpacing/>
    </w:pPr>
  </w:style>
  <w:style w:type="paragraph" w:customStyle="1" w:styleId="1">
    <w:name w:val="Без интервала1"/>
    <w:rsid w:val="003468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3468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346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468E0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3468E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3468E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468E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468E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468E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468E0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468E0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468E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468E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468E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468E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468E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468E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468E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468E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d">
    <w:name w:val="Основной текст_"/>
    <w:basedOn w:val="a0"/>
    <w:link w:val="2"/>
    <w:locked/>
    <w:rsid w:val="003468E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d"/>
    <w:rsid w:val="003468E0"/>
    <w:pPr>
      <w:widowControl w:val="0"/>
      <w:shd w:val="clear" w:color="auto" w:fill="FFFFFF"/>
      <w:spacing w:after="0" w:line="317" w:lineRule="exact"/>
      <w:ind w:hanging="5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Exact">
    <w:name w:val="Основной текст (4) Exact"/>
    <w:basedOn w:val="a0"/>
    <w:link w:val="4"/>
    <w:locked/>
    <w:rsid w:val="003468E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3468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0">
    <w:name w:val="Основной текст (2)_"/>
    <w:basedOn w:val="a0"/>
    <w:link w:val="21"/>
    <w:locked/>
    <w:rsid w:val="003468E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3468E0"/>
    <w:pPr>
      <w:widowControl w:val="0"/>
      <w:shd w:val="clear" w:color="auto" w:fill="FFFFFF"/>
      <w:spacing w:after="0" w:line="312" w:lineRule="exact"/>
      <w:ind w:hanging="56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">
    <w:name w:val="Основной текст (3)_"/>
    <w:basedOn w:val="a0"/>
    <w:link w:val="30"/>
    <w:locked/>
    <w:rsid w:val="003468E0"/>
    <w:rPr>
      <w:rFonts w:ascii="Century Gothic" w:eastAsia="Century Gothic" w:hAnsi="Century Gothic" w:cs="Century Gothic"/>
      <w:sz w:val="8"/>
      <w:szCs w:val="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468E0"/>
    <w:pPr>
      <w:widowControl w:val="0"/>
      <w:shd w:val="clear" w:color="auto" w:fill="FFFFFF"/>
      <w:spacing w:after="0" w:line="0" w:lineRule="atLeast"/>
    </w:pPr>
    <w:rPr>
      <w:rFonts w:ascii="Century Gothic" w:eastAsia="Century Gothic" w:hAnsi="Century Gothic" w:cs="Century Gothic"/>
      <w:sz w:val="8"/>
      <w:szCs w:val="8"/>
    </w:rPr>
  </w:style>
  <w:style w:type="paragraph" w:customStyle="1" w:styleId="31">
    <w:name w:val="Основной текст3"/>
    <w:basedOn w:val="a"/>
    <w:rsid w:val="003468E0"/>
    <w:pPr>
      <w:widowControl w:val="0"/>
      <w:shd w:val="clear" w:color="auto" w:fill="FFFFFF"/>
      <w:spacing w:after="0" w:line="307" w:lineRule="exact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2">
    <w:name w:val="Заголовок №2_"/>
    <w:basedOn w:val="a0"/>
    <w:link w:val="23"/>
    <w:locked/>
    <w:rsid w:val="003468E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3">
    <w:name w:val="Заголовок №2"/>
    <w:basedOn w:val="a"/>
    <w:link w:val="22"/>
    <w:rsid w:val="003468E0"/>
    <w:pPr>
      <w:widowControl w:val="0"/>
      <w:shd w:val="clear" w:color="auto" w:fill="FFFFFF"/>
      <w:spacing w:before="360" w:after="0" w:line="374" w:lineRule="exact"/>
      <w:ind w:firstLine="700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Exact">
    <w:name w:val="Основной текст Exact"/>
    <w:basedOn w:val="a0"/>
    <w:rsid w:val="003468E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u w:val="none"/>
      <w:effect w:val="none"/>
    </w:rPr>
  </w:style>
  <w:style w:type="character" w:customStyle="1" w:styleId="ae">
    <w:name w:val="Основной текст + Полужирный"/>
    <w:basedOn w:val="ad"/>
    <w:rsid w:val="003468E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table" w:styleId="af">
    <w:name w:val="Table Grid"/>
    <w:basedOn w:val="a1"/>
    <w:uiPriority w:val="59"/>
    <w:rsid w:val="003468E0"/>
    <w:pPr>
      <w:spacing w:after="0" w:line="240" w:lineRule="auto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4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nitoring.mosreg.ru/gpmomun/Programs/Indicato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37</Pages>
  <Words>8662</Words>
  <Characters>49376</Characters>
  <Application>Microsoft Office Word</Application>
  <DocSecurity>0</DocSecurity>
  <Lines>411</Lines>
  <Paragraphs>115</Paragraphs>
  <ScaleCrop>false</ScaleCrop>
  <Company/>
  <LinksUpToDate>false</LinksUpToDate>
  <CharactersWithSpaces>57923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2019-07-02T11:15:00Z</dcterms:created>
  <dcterms:modified xsi:type="dcterms:W3CDTF">2019-07-02T11:22:00Z</dcterms:modified>
</cp:coreProperties>
</file>