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D6F" w:rsidRDefault="00B55D6F" w:rsidP="00B55D6F">
      <w:pPr>
        <w:ind w:firstLine="142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</w:t>
      </w:r>
    </w:p>
    <w:p w:rsidR="00B55D6F" w:rsidRDefault="00B55D6F" w:rsidP="00B55D6F">
      <w:pPr>
        <w:tabs>
          <w:tab w:val="left" w:pos="4962"/>
          <w:tab w:val="left" w:pos="5954"/>
        </w:tabs>
        <w:ind w:left="708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  <w:t>к Постановлению администрации</w:t>
      </w:r>
    </w:p>
    <w:p w:rsidR="00B55D6F" w:rsidRDefault="00B55D6F" w:rsidP="00B55D6F">
      <w:pPr>
        <w:tabs>
          <w:tab w:val="left" w:pos="4962"/>
          <w:tab w:val="left" w:pos="5954"/>
        </w:tabs>
        <w:ind w:left="708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городского округа Люберцы </w:t>
      </w:r>
    </w:p>
    <w:p w:rsidR="00B55D6F" w:rsidRDefault="00B55D6F" w:rsidP="00B55D6F">
      <w:pPr>
        <w:tabs>
          <w:tab w:val="left" w:pos="4962"/>
          <w:tab w:val="left" w:pos="5954"/>
        </w:tabs>
        <w:ind w:left="708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</w:t>
      </w:r>
    </w:p>
    <w:p w:rsidR="00B55D6F" w:rsidRDefault="00B55D6F" w:rsidP="00B55D6F">
      <w:pPr>
        <w:tabs>
          <w:tab w:val="left" w:pos="4962"/>
          <w:tab w:val="left" w:pos="5954"/>
        </w:tabs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  <w:t>от 30.09.2019 № 3630-ПА</w:t>
      </w:r>
    </w:p>
    <w:p w:rsidR="00B55D6F" w:rsidRDefault="00B55D6F" w:rsidP="00B55D6F">
      <w:pPr>
        <w:tabs>
          <w:tab w:val="left" w:pos="4962"/>
          <w:tab w:val="left" w:pos="5954"/>
        </w:tabs>
        <w:outlineLvl w:val="0"/>
        <w:rPr>
          <w:rFonts w:ascii="Arial" w:hAnsi="Arial" w:cs="Arial"/>
          <w:b/>
        </w:rPr>
      </w:pPr>
    </w:p>
    <w:p w:rsidR="00B55D6F" w:rsidRDefault="00B55D6F" w:rsidP="00B55D6F">
      <w:pPr>
        <w:pStyle w:val="a6"/>
        <w:ind w:left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Прогноз социально-экономического развития </w:t>
      </w:r>
    </w:p>
    <w:p w:rsidR="00B55D6F" w:rsidRDefault="00B55D6F" w:rsidP="00B55D6F">
      <w:pPr>
        <w:pStyle w:val="a6"/>
        <w:ind w:left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муниципального образования городской округ Люберцы </w:t>
      </w:r>
    </w:p>
    <w:p w:rsidR="00B55D6F" w:rsidRDefault="00B55D6F" w:rsidP="00B55D6F">
      <w:pPr>
        <w:pStyle w:val="a6"/>
        <w:ind w:left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Московской области на 2020 - 2022 годы.</w:t>
      </w:r>
    </w:p>
    <w:p w:rsidR="00B55D6F" w:rsidRDefault="00B55D6F" w:rsidP="00B55D6F">
      <w:pPr>
        <w:pStyle w:val="a6"/>
        <w:ind w:left="0"/>
        <w:jc w:val="center"/>
        <w:rPr>
          <w:rFonts w:ascii="Arial" w:eastAsia="Times New Roman" w:hAnsi="Arial" w:cs="Arial"/>
          <w:b/>
        </w:rPr>
      </w:pP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Прогноз социально - экономического развития муниципального образования городской округ Люберцы Московской области на 2020 - 2022 годы разработан в соответствии с Постановлением Правительства Московской области от 24.06.2016 № 488/18 «О Порядке разработки, корректировки, осуществления мониторинга и контроля реализации прогноза социально-экономического развития Московской области на среднесрочный период </w:t>
      </w:r>
      <w:r>
        <w:rPr>
          <w:rFonts w:ascii="Arial" w:hAnsi="Arial" w:cs="Arial"/>
        </w:rPr>
        <w:br/>
        <w:t>и признании утратившими силу некоторых постановлений Правительства Московской области», Распоряжением Министерства экономики Московской области от 18.03.2008</w:t>
      </w:r>
      <w:proofErr w:type="gramEnd"/>
      <w:r>
        <w:rPr>
          <w:rFonts w:ascii="Arial" w:hAnsi="Arial" w:cs="Arial"/>
        </w:rPr>
        <w:t xml:space="preserve"> № </w:t>
      </w:r>
      <w:proofErr w:type="gramStart"/>
      <w:r>
        <w:rPr>
          <w:rFonts w:ascii="Arial" w:hAnsi="Arial" w:cs="Arial"/>
        </w:rPr>
        <w:t xml:space="preserve">14 - РМ «Об утверждении Порядка взаимодействия Министерства экономики Московской области и органов местного самоуправления муниципальных районов и городских округов Московской области по вопросам разработки прогнозов социально - экономического развития муниципальных образований Московской области», Постановлением администрации городского округа Люберцы от 03.09.2018 № 3456 - ПА </w:t>
      </w:r>
      <w:r>
        <w:rPr>
          <w:rFonts w:ascii="Arial" w:hAnsi="Arial" w:cs="Arial"/>
        </w:rPr>
        <w:br/>
        <w:t>«Об утверждении Порядка разработки, корректировки, осуществления мониторинга и контроля реализации прогноза социально-экономического развития муниципального образования городской округ Люберцы Московской</w:t>
      </w:r>
      <w:proofErr w:type="gramEnd"/>
      <w:r>
        <w:rPr>
          <w:rFonts w:ascii="Arial" w:hAnsi="Arial" w:cs="Arial"/>
        </w:rPr>
        <w:t xml:space="preserve"> области».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Прогноз социально-экономического развития городского округа разработан в двух вариантах. </w:t>
      </w:r>
      <w:proofErr w:type="gramStart"/>
      <w:r>
        <w:rPr>
          <w:rFonts w:ascii="Arial" w:hAnsi="Arial" w:cs="Arial"/>
        </w:rPr>
        <w:t>Первый вариант прогноза соответствует консервативному варианту, разрабатываемому на основе консервативных оценок темпов экономического роста с учетом существенного ухудшения внешнеэкономических и иных условий, замедлений темпов роста мировой экономики; второй вариант – базовому варианту, характеризующему основные тенденции и параметры развития экономики в условиях консервативных траекторий изменения внешних и внутренних факторов при сохранении основных тенденций изменения эффективности использования ресурсов.</w:t>
      </w:r>
      <w:proofErr w:type="gramEnd"/>
      <w:r>
        <w:rPr>
          <w:rFonts w:ascii="Arial" w:hAnsi="Arial" w:cs="Arial"/>
        </w:rPr>
        <w:t xml:space="preserve"> Прогноз сформирован на основе анализа и оценки информации о деятельности хозяйствующих субъектов, расположенных на территории городского округа, </w:t>
      </w:r>
      <w:r>
        <w:rPr>
          <w:rFonts w:ascii="Arial" w:hAnsi="Arial" w:cs="Arial"/>
        </w:rPr>
        <w:br/>
        <w:t xml:space="preserve">а так же данных финансовых органов и информации органов государственной статистики.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Муниципальное образование городской округ Люберцы Московской области расположено к юго-востоку от Москвы, рядом с Московской кольцевой автодорогой, по трассе федеральной автомобильной дороги (М-5) «Урал», </w:t>
      </w:r>
      <w:r>
        <w:rPr>
          <w:rFonts w:ascii="Arial" w:hAnsi="Arial" w:cs="Arial"/>
        </w:rPr>
        <w:br/>
        <w:t xml:space="preserve">на Рязанском и Казанском направлениях Московской железной дороги. </w:t>
      </w:r>
      <w:r>
        <w:rPr>
          <w:rFonts w:ascii="Arial" w:hAnsi="Arial" w:cs="Arial"/>
        </w:rPr>
        <w:br/>
      </w:r>
      <w:proofErr w:type="gramStart"/>
      <w:r>
        <w:rPr>
          <w:rFonts w:ascii="Arial" w:hAnsi="Arial" w:cs="Arial"/>
        </w:rPr>
        <w:t xml:space="preserve">Как муниципальное образование, городской округ Люберцы образован </w:t>
      </w:r>
      <w:r>
        <w:rPr>
          <w:rFonts w:ascii="Arial" w:hAnsi="Arial" w:cs="Arial"/>
        </w:rPr>
        <w:br/>
        <w:t xml:space="preserve">в соответствии с Законом Московской области от 28.12.2016 № 183/2016-ОЗ «Об организации местного самоуправления на территории Люберецкого муниципального района» путем объединения территории городского поселения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, городского поселения Люберцы, городского поселения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, городского поселения Октябрьский, городского поселения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без изменения границ территории Люберецкого муниципального района. </w:t>
      </w:r>
      <w:proofErr w:type="gramEnd"/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Площадь территории городского округа Люберцы составляет 12 205 га.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Граница городского округа Люберцы определена Законом Московской области от 21.04.2017 N 56/2017-ОЗ «О границе городского округа Люберцы».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территории городского округа расположено 22 </w:t>
      </w:r>
      <w:proofErr w:type="gramStart"/>
      <w:r>
        <w:rPr>
          <w:rFonts w:ascii="Arial" w:hAnsi="Arial" w:cs="Arial"/>
        </w:rPr>
        <w:t>населенных</w:t>
      </w:r>
      <w:proofErr w:type="gramEnd"/>
      <w:r>
        <w:rPr>
          <w:rFonts w:ascii="Arial" w:hAnsi="Arial" w:cs="Arial"/>
        </w:rPr>
        <w:t xml:space="preserve"> пункта: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Люберцы – город Московской области – административный центр городского округа;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– дачный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– рабочий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Октябрьский – рабочий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 – рабочий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Балластный Карьер – поселок;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Егорово</w:t>
      </w:r>
      <w:proofErr w:type="spellEnd"/>
      <w:r>
        <w:rPr>
          <w:rFonts w:ascii="Arial" w:hAnsi="Arial" w:cs="Arial"/>
        </w:rPr>
        <w:t xml:space="preserve"> –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Жилино-1 –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Жилино-2 –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Кирилловка</w:t>
      </w:r>
      <w:proofErr w:type="spellEnd"/>
      <w:r>
        <w:rPr>
          <w:rFonts w:ascii="Arial" w:hAnsi="Arial" w:cs="Arial"/>
        </w:rPr>
        <w:t xml:space="preserve">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Лукьяновка</w:t>
      </w:r>
      <w:proofErr w:type="spellEnd"/>
      <w:r>
        <w:rPr>
          <w:rFonts w:ascii="Arial" w:hAnsi="Arial" w:cs="Arial"/>
        </w:rPr>
        <w:t xml:space="preserve">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gramStart"/>
      <w:r>
        <w:rPr>
          <w:rFonts w:ascii="Arial" w:hAnsi="Arial" w:cs="Arial"/>
        </w:rPr>
        <w:t>Марусино</w:t>
      </w:r>
      <w:proofErr w:type="gramEnd"/>
      <w:r>
        <w:rPr>
          <w:rFonts w:ascii="Arial" w:hAnsi="Arial" w:cs="Arial"/>
        </w:rPr>
        <w:t xml:space="preserve">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Машково</w:t>
      </w:r>
      <w:proofErr w:type="spellEnd"/>
      <w:r>
        <w:rPr>
          <w:rFonts w:ascii="Arial" w:hAnsi="Arial" w:cs="Arial"/>
        </w:rPr>
        <w:t xml:space="preserve"> – деревня;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Мирный – поселок;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Мотяково</w:t>
      </w:r>
      <w:proofErr w:type="spellEnd"/>
      <w:r>
        <w:rPr>
          <w:rFonts w:ascii="Arial" w:hAnsi="Arial" w:cs="Arial"/>
        </w:rPr>
        <w:t xml:space="preserve">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Пехорка</w:t>
      </w:r>
      <w:proofErr w:type="spellEnd"/>
      <w:r>
        <w:rPr>
          <w:rFonts w:ascii="Arial" w:hAnsi="Arial" w:cs="Arial"/>
        </w:rPr>
        <w:t xml:space="preserve">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Сосновка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Токарево</w:t>
      </w:r>
      <w:proofErr w:type="spellEnd"/>
      <w:r>
        <w:rPr>
          <w:rFonts w:ascii="Arial" w:hAnsi="Arial" w:cs="Arial"/>
        </w:rPr>
        <w:t xml:space="preserve">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Торбеево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Хлыстово</w:t>
      </w:r>
      <w:proofErr w:type="spellEnd"/>
      <w:r>
        <w:rPr>
          <w:rFonts w:ascii="Arial" w:hAnsi="Arial" w:cs="Arial"/>
        </w:rPr>
        <w:t xml:space="preserve"> – деревня;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Часовня – деревня;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Чкалово – поселок.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Демография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- один из крупнейших по численности населения среди муниципальных образований Московской области.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Численность постоянного населения городского округа на 01.01.2019 года составила 318 372 человека (городского населения – 307 446, из них </w:t>
      </w:r>
      <w:r>
        <w:rPr>
          <w:rFonts w:ascii="Arial" w:hAnsi="Arial" w:cs="Arial"/>
        </w:rPr>
        <w:br/>
        <w:t xml:space="preserve">г. Люберцы – 207 349, сельского – 10 926). По сравнению с концом 2017 года численность населения округа увеличилась на 3 849 человек. По оценке </w:t>
      </w:r>
      <w:r>
        <w:rPr>
          <w:rFonts w:ascii="Arial" w:hAnsi="Arial" w:cs="Arial"/>
        </w:rPr>
        <w:br/>
        <w:t xml:space="preserve">в 2019 году она возрастет до 321 638 человек. К концу прогнозируемого периода этот показатель ожидается в размере 331 204 – 332 261 человек.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Прирост постоянного населения округа в 2019 году ожидается в основном за счет миграционного прироста – 2 813 человек.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Естественный прирост в 2019 году в округе составит 453 человека.  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текущий момент сохраняется преобладание миграционного (механического) прироста населения в общем объеме прироста постоянного населения (более 80 % по сравнению с естественным приростом). Городской округ Люберцы привлекателен своей близостью расположения к г. Москва, развитой инфраструктурой, транспортной доступностью, активным строительством жилья, ежегодный ввод - более 300 тыс. кв. метров, вводом новых социальных, производственных объектов, созданием около </w:t>
      </w:r>
      <w:r>
        <w:rPr>
          <w:rFonts w:ascii="Arial" w:hAnsi="Arial" w:cs="Arial"/>
        </w:rPr>
        <w:br/>
        <w:t>1,5 тыс. новых рабочих мест ежегодно.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прогнозу до 2022 года миграционный прирост по сравнению </w:t>
      </w:r>
      <w:r>
        <w:rPr>
          <w:rFonts w:ascii="Arial" w:hAnsi="Arial" w:cs="Arial"/>
        </w:rPr>
        <w:br/>
        <w:t>с естественным приростом останется основным в росте численности постоянного населения округа.</w:t>
      </w:r>
    </w:p>
    <w:p w:rsidR="00B55D6F" w:rsidRDefault="00B55D6F" w:rsidP="00B55D6F">
      <w:pPr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Ежегодно до конца прогнозного периода естественный прирост ожидается около 500 чел. и  миграционный прирост - около 3 000 чел. (за счет заселения вводимого жилья в новостройках и прибытия иностранных, иногородних граждан (в основном трудоспособного возраста с целью трудоустройства) на территорию городского округа, прошедших регистрацию на срок 9 месяцев и более). В связи с изменением миграционного, пенсионного законодательства, законодательства о занятости населения механический (миграционный прирост) в общем объеме будет незначительно меняться </w:t>
      </w:r>
      <w:r>
        <w:rPr>
          <w:rFonts w:ascii="Arial" w:hAnsi="Arial" w:cs="Arial"/>
        </w:rPr>
        <w:br/>
        <w:t>в основном в зависимости от рынка труда (вакансии, рабочие места и др.)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Промышленность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bookmarkStart w:id="0" w:name="OLE_LINK14"/>
      <w:bookmarkStart w:id="1" w:name="OLE_LINK13"/>
      <w:bookmarkStart w:id="2" w:name="OLE_LINK12"/>
      <w:bookmarkStart w:id="3" w:name="OLE_LINK11"/>
      <w:bookmarkStart w:id="4" w:name="OLE_LINK126"/>
      <w:bookmarkStart w:id="5" w:name="OLE_LINK125"/>
      <w:r>
        <w:rPr>
          <w:rFonts w:ascii="Arial" w:hAnsi="Arial" w:cs="Arial"/>
        </w:rPr>
        <w:lastRenderedPageBreak/>
        <w:t xml:space="preserve">Промышленность городского округа представлена разделами: </w:t>
      </w:r>
      <w:r>
        <w:rPr>
          <w:rFonts w:ascii="Arial" w:hAnsi="Arial" w:cs="Arial"/>
        </w:rPr>
        <w:br/>
        <w:t xml:space="preserve">С («Обрабатывающие производства»), </w:t>
      </w:r>
      <w:r>
        <w:rPr>
          <w:rFonts w:ascii="Arial" w:hAnsi="Arial" w:cs="Arial"/>
          <w:lang w:val="en-US"/>
        </w:rPr>
        <w:t>D</w:t>
      </w:r>
      <w:r>
        <w:rPr>
          <w:rFonts w:ascii="Arial" w:hAnsi="Arial" w:cs="Arial"/>
        </w:rPr>
        <w:t xml:space="preserve"> («Обеспечение электрической энергией, газом и паром, кондиционирование воздуха») и</w:t>
      </w:r>
      <w:proofErr w:type="gramStart"/>
      <w:r>
        <w:rPr>
          <w:rFonts w:ascii="Arial" w:hAnsi="Arial" w:cs="Arial"/>
        </w:rPr>
        <w:t xml:space="preserve"> Е</w:t>
      </w:r>
      <w:proofErr w:type="gramEnd"/>
      <w:r>
        <w:rPr>
          <w:rFonts w:ascii="Arial" w:hAnsi="Arial" w:cs="Arial"/>
        </w:rPr>
        <w:t xml:space="preserve"> («Водоснабжение, водоотведение, организация сбора и утилизации отходов, деятельность </w:t>
      </w:r>
      <w:r>
        <w:rPr>
          <w:rFonts w:ascii="Arial" w:hAnsi="Arial" w:cs="Arial"/>
        </w:rPr>
        <w:br/>
        <w:t xml:space="preserve">по ликвидации загрязнений»).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структуре промышленного производства городского округа Люберцы наибольшая доля принадлежит обрабатывающим производствам (85,93 %), </w:t>
      </w:r>
      <w:r>
        <w:rPr>
          <w:rFonts w:ascii="Arial" w:hAnsi="Arial" w:cs="Arial"/>
        </w:rPr>
        <w:br/>
        <w:t>на обеспечение электрической энергией, газом и паром, кондиционирование воздуха приходится 7,6 %, на водоснабжение, водоотведение, организацию сбора и утилизации отходов, деятельность по ликвидации загрязнений – 6,4 %.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Структура раздела</w:t>
      </w:r>
      <w:proofErr w:type="gramStart"/>
      <w:r>
        <w:rPr>
          <w:rFonts w:ascii="Arial" w:hAnsi="Arial" w:cs="Arial"/>
        </w:rPr>
        <w:t xml:space="preserve"> С</w:t>
      </w:r>
      <w:proofErr w:type="gramEnd"/>
      <w:r>
        <w:rPr>
          <w:rFonts w:ascii="Arial" w:hAnsi="Arial" w:cs="Arial"/>
        </w:rPr>
        <w:t>: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27,4 % - производство пищевых продуктов;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17,6 % - производство прочих транспортных средств и оборудования;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11,6 % - производство компьютеров, электронных и оптических изделий;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7,2 % -производство напитков</w:t>
      </w:r>
    </w:p>
    <w:p w:rsidR="00B55D6F" w:rsidRDefault="00B55D6F" w:rsidP="00B55D6F">
      <w:pPr>
        <w:numPr>
          <w:ilvl w:val="0"/>
          <w:numId w:val="2"/>
        </w:numPr>
        <w:tabs>
          <w:tab w:val="left" w:pos="0"/>
        </w:tabs>
        <w:ind w:left="567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6,9 % - производство автотранспортных средств, прицепов и полуприцепов;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6,3 % - ремонт и монтаж машин и оборудования; 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6,2 % - производство металлургическое;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4,4 % - производство готовых металлических изделий;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3,7 % - производство текстильных изделий;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2,8 %- производство одежды;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1,9 % - производство электрического оборудования;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1,9 % - производство мебели;</w:t>
      </w:r>
    </w:p>
    <w:p w:rsidR="00B55D6F" w:rsidRDefault="00B55D6F" w:rsidP="00B55D6F">
      <w:pPr>
        <w:numPr>
          <w:ilvl w:val="0"/>
          <w:numId w:val="2"/>
        </w:numPr>
        <w:ind w:left="709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1,8 % - производство резиновых и пластмассовых изделий;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bookmarkStart w:id="6" w:name="OLE_LINK17"/>
      <w:bookmarkStart w:id="7" w:name="OLE_LINK16"/>
      <w:bookmarkStart w:id="8" w:name="OLE_LINK15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</w:rPr>
        <w:t>В 2018 году объем отгруженных товаров собственного производства,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выполненных работ и услуг собственными силами по промышленным видам деятельности составил 41 978,3 млн. рублей, в 2019 году ожидается прирост данного показателя на 3,8 % и его значение составит 43 596,7 млн. рублей.</w:t>
      </w:r>
    </w:p>
    <w:bookmarkEnd w:id="6"/>
    <w:bookmarkEnd w:id="7"/>
    <w:bookmarkEnd w:id="8"/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прогнозируемом периоде темпы роста объема отгруженных товаров по промышленным видам деятельности ожидаются в размере 105,3 %  – 109,1 %.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«Кухни «</w:t>
      </w:r>
      <w:proofErr w:type="spellStart"/>
      <w:r>
        <w:rPr>
          <w:rFonts w:ascii="Arial" w:hAnsi="Arial" w:cs="Arial"/>
        </w:rPr>
        <w:t>Триволи</w:t>
      </w:r>
      <w:proofErr w:type="spellEnd"/>
      <w:r>
        <w:rPr>
          <w:rFonts w:ascii="Arial" w:hAnsi="Arial" w:cs="Arial"/>
        </w:rPr>
        <w:t>» одна из крупнейших компаний по изготовлению кухонной мебели. Коллектив фабрики – более 170 сотрудников. Прирост отгруженных товаров в 2018 году – 166 %. Запланированная на 2018-2019 годы модернизация предприятия позволит ожидать в прогнозном периоде роста объема отгруженных товаров.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«Производственное предприятие «Радар-2633» - сервисное обслуживание средств зенитно-ракетных комплексов, командных пунктов. </w:t>
      </w:r>
      <w:r>
        <w:rPr>
          <w:rFonts w:ascii="Arial" w:hAnsi="Arial" w:cs="Arial"/>
        </w:rPr>
        <w:br/>
        <w:t xml:space="preserve">В целях обеспечения обороноспособности и безопасности государства предприятие осуществляет в установленном законодательством порядке ремонт, техническое обслуживание и модернизацию включенной </w:t>
      </w:r>
      <w:r>
        <w:rPr>
          <w:rFonts w:ascii="Arial" w:hAnsi="Arial" w:cs="Arial"/>
        </w:rPr>
        <w:br/>
        <w:t xml:space="preserve">в государственный заказ военной техники и вооружения для Министерства обороны РФ и других федеральных органов исполнительной власти РФ. Темп роста отгруженной продукции в 2018 году – 150 %.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«Мастеровит». Компания более 20 лет производит и монтирует строительные металлические конструкции и изделия, имеет </w:t>
      </w:r>
      <w:r>
        <w:rPr>
          <w:rFonts w:ascii="Arial" w:hAnsi="Arial" w:cs="Arial"/>
        </w:rPr>
        <w:br/>
        <w:t xml:space="preserve">3 производственные базы, оснащенные современным оборудованием, высококвалифицированный персонал, 9 офисов продаж. Компания одна </w:t>
      </w:r>
      <w:r>
        <w:rPr>
          <w:rFonts w:ascii="Arial" w:hAnsi="Arial" w:cs="Arial"/>
        </w:rPr>
        <w:br/>
        <w:t>из первых внедряет новые технологии, чтобы обеспечить безупречный результат и предложить самое лучшее качество для покупателей по доступной цене. Темп роста отгрузки в 2018 году составляет 121 %.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подразделе «Производство автотранспортных средств, прицепов </w:t>
      </w:r>
      <w:r>
        <w:rPr>
          <w:rFonts w:ascii="Arial" w:hAnsi="Arial" w:cs="Arial"/>
        </w:rPr>
        <w:br/>
        <w:t>и полуприцепов» наиболее значимыми являются ОП ООО НПФ «</w:t>
      </w:r>
      <w:proofErr w:type="spellStart"/>
      <w:r>
        <w:rPr>
          <w:rFonts w:ascii="Arial" w:hAnsi="Arial" w:cs="Arial"/>
        </w:rPr>
        <w:t>Трэкол</w:t>
      </w:r>
      <w:proofErr w:type="spellEnd"/>
      <w:r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br/>
      </w:r>
      <w:proofErr w:type="gramStart"/>
      <w:r>
        <w:rPr>
          <w:rFonts w:ascii="Arial" w:hAnsi="Arial" w:cs="Arial"/>
        </w:rPr>
        <w:t>и ООО</w:t>
      </w:r>
      <w:proofErr w:type="gramEnd"/>
      <w:r>
        <w:rPr>
          <w:rFonts w:ascii="Arial" w:hAnsi="Arial" w:cs="Arial"/>
        </w:rPr>
        <w:t xml:space="preserve"> «РГ – Техно».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Компания «</w:t>
      </w:r>
      <w:proofErr w:type="spellStart"/>
      <w:r>
        <w:rPr>
          <w:rFonts w:ascii="Arial" w:hAnsi="Arial" w:cs="Arial"/>
        </w:rPr>
        <w:t>Трэкол</w:t>
      </w:r>
      <w:proofErr w:type="spellEnd"/>
      <w:r>
        <w:rPr>
          <w:rFonts w:ascii="Arial" w:hAnsi="Arial" w:cs="Arial"/>
        </w:rPr>
        <w:t xml:space="preserve">» осуществляет разработку шин сверхнизкого давления и моделирует оптимальные конструкции вездеходов с последующим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>их производством и реализацией. Уникальность вездеходов «</w:t>
      </w:r>
      <w:proofErr w:type="spellStart"/>
      <w:r>
        <w:rPr>
          <w:rFonts w:ascii="Arial" w:hAnsi="Arial" w:cs="Arial"/>
        </w:rPr>
        <w:t>Трэкол</w:t>
      </w:r>
      <w:proofErr w:type="spellEnd"/>
      <w:r>
        <w:rPr>
          <w:rFonts w:ascii="Arial" w:hAnsi="Arial" w:cs="Arial"/>
        </w:rPr>
        <w:t xml:space="preserve">» защищена 17 патентами РФ, США и Канады. В ассортименте выпускаемой предприятием продукции - компактные и просторные транспортные средства повышенной проходимости: сухопутные четырех- и шестиколесные вездеходы и амфибии, тентовые модели и транспорт с цельнометаллическим кузовом, </w:t>
      </w:r>
      <w:r>
        <w:rPr>
          <w:rFonts w:ascii="Arial" w:hAnsi="Arial" w:cs="Arial"/>
        </w:rPr>
        <w:br/>
        <w:t xml:space="preserve">а также транспортные средства для сотрудников скорой помощи, вызываемых </w:t>
      </w:r>
      <w:r>
        <w:rPr>
          <w:rFonts w:ascii="Arial" w:hAnsi="Arial" w:cs="Arial"/>
        </w:rPr>
        <w:br/>
        <w:t>в труднодоступные районы.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«РГ-Техно» — ведущий российский производитель и поставщик высококачественной европейской коммунальной и дорожно-уборочной техники. Производственная программа компании «РГ-Техно» представляет широкий спектр машин: мусоровозы, крюковые и портальные погрузчики, комбинированные дорожные машины, вакуумно-подметальные машины. </w:t>
      </w:r>
      <w:r>
        <w:rPr>
          <w:rFonts w:ascii="Arial" w:hAnsi="Arial" w:cs="Arial"/>
        </w:rPr>
        <w:br/>
        <w:t xml:space="preserve">В настоящее время техника от ООО «РГ-Техно» успешно работает </w:t>
      </w:r>
      <w:r>
        <w:rPr>
          <w:rFonts w:ascii="Arial" w:hAnsi="Arial" w:cs="Arial"/>
        </w:rPr>
        <w:br/>
        <w:t xml:space="preserve">в 50 регионах России. Партнерами компании являются такие известные фирмы как </w:t>
      </w:r>
      <w:proofErr w:type="spellStart"/>
      <w:r>
        <w:rPr>
          <w:rFonts w:ascii="Arial" w:hAnsi="Arial" w:cs="Arial"/>
        </w:rPr>
        <w:t>Scania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Mercedes-Benz</w:t>
      </w:r>
      <w:proofErr w:type="spellEnd"/>
      <w:r>
        <w:rPr>
          <w:rFonts w:ascii="Arial" w:hAnsi="Arial" w:cs="Arial"/>
        </w:rPr>
        <w:t xml:space="preserve">, MAN, </w:t>
      </w:r>
      <w:proofErr w:type="spellStart"/>
      <w:r>
        <w:rPr>
          <w:rFonts w:ascii="Arial" w:hAnsi="Arial" w:cs="Arial"/>
        </w:rPr>
        <w:t>Volvo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Zoeller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Renault</w:t>
      </w:r>
      <w:proofErr w:type="spellEnd"/>
      <w:r>
        <w:rPr>
          <w:rFonts w:ascii="Arial" w:hAnsi="Arial" w:cs="Arial"/>
        </w:rPr>
        <w:t xml:space="preserve"> и другие. Компания располагает собственной сервисной службой и оказывает услуги </w:t>
      </w:r>
      <w:r>
        <w:rPr>
          <w:rFonts w:ascii="Arial" w:hAnsi="Arial" w:cs="Arial"/>
        </w:rPr>
        <w:br/>
        <w:t>по техническому обслуживанию и ремонту любого технологического оборудования, коммунальных и дорожно-уборочных машин любых производителей.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Наиболее крупными предприятиями вида деятельности </w:t>
      </w:r>
      <w:r>
        <w:rPr>
          <w:rFonts w:ascii="Arial" w:hAnsi="Arial" w:cs="Arial"/>
        </w:rPr>
        <w:t xml:space="preserve">«Обеспечение электрической энергией, газом и паром; кондиционирование воздуха» являются </w:t>
      </w:r>
      <w:r>
        <w:rPr>
          <w:rFonts w:ascii="Arial" w:hAnsi="Arial" w:cs="Arial"/>
          <w:bCs/>
        </w:rPr>
        <w:t xml:space="preserve">АО «Люберецкая теплосеть» и АО «Люберецкий Водоканал». В связи </w:t>
      </w:r>
      <w:r>
        <w:rPr>
          <w:rFonts w:ascii="Arial" w:hAnsi="Arial" w:cs="Arial"/>
          <w:bCs/>
        </w:rPr>
        <w:br/>
        <w:t xml:space="preserve">с установкой приборов учета потребления воды в жилых домах </w:t>
      </w:r>
      <w:r>
        <w:rPr>
          <w:rFonts w:ascii="Arial" w:hAnsi="Arial" w:cs="Arial"/>
          <w:bCs/>
        </w:rPr>
        <w:br/>
        <w:t xml:space="preserve">и на предприятиях, а так же реализации основных инвестиционных проектов </w:t>
      </w:r>
      <w:r>
        <w:rPr>
          <w:rFonts w:ascii="Arial" w:hAnsi="Arial" w:cs="Arial"/>
          <w:bCs/>
        </w:rPr>
        <w:br/>
        <w:t>в сфере жилищного строительства на территории городского округа, прирост производства в прогнозируемом периоде ожидается на уровне 3,9 – 9,1%.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Промышленность обеспечивает стремительный рост производства, повышает его эффективность и конкурентоспособность, позволяет расширить существующие и открыть новые рынки. Существующий потенциал промышленности в городском округе сильно уступает требованиям глобального рынка, промышленные комплексы нуждаются в новом современном оборудовании, технологиях и методах. В условиях нехватки материальных средств, предприятия и промышленные организации не имеют возможности обновить свою технологическую базу, внедрить инновации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и перейти на новый технический уровень развития. Освоение и внедрение современных технологий учета и контроля - вот главная необходимость любой промышленной отрасли. Так же, важной проблемой, которая сдерживает социально-экономическое развитие, является недостаточно развитая научно-исследовательская работа. Несовершенная научно-производственная база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и недостаток научно-исследовательских компаний, которые занимаются освоением и внедрением в промышленность современных технологий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и разработок, приводит к негативным последствиям и снижает темпы роста производства. Так же, из-за отсутствия площадей земель сельскохозяйственного назначения на территории городского округа полностью отсутствует сельскохозяйственное производство. 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Сельское хозяйство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bookmarkStart w:id="9" w:name="OLE_LINK119"/>
      <w:bookmarkStart w:id="10" w:name="OLE_LINK118"/>
      <w:bookmarkStart w:id="11" w:name="OLE_LINK117"/>
      <w:r>
        <w:rPr>
          <w:rFonts w:ascii="Arial" w:hAnsi="Arial" w:cs="Arial"/>
          <w:bCs/>
        </w:rPr>
        <w:t xml:space="preserve">Из-за отсутствия больших площадей земель сельскохозяйственного назначения и АПК на территории городского округа производство продукции сельского хозяйства представлено только за счет двух категорий хозяйств - личные подсобные хозяйства и крестьянские (фермерские) хозяйства. Потенциал для дальнейшего развития сельского хозяйства в городском округе Люберцы отсутствует. </w:t>
      </w:r>
      <w:bookmarkEnd w:id="9"/>
      <w:bookmarkEnd w:id="10"/>
      <w:bookmarkEnd w:id="11"/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Малое предпринимательство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bookmarkStart w:id="12" w:name="OLE_LINK155"/>
      <w:bookmarkStart w:id="13" w:name="OLE_LINK154"/>
      <w:r>
        <w:rPr>
          <w:rFonts w:ascii="Arial" w:hAnsi="Arial" w:cs="Arial"/>
          <w:bCs/>
        </w:rPr>
        <w:t xml:space="preserve">Развитие малого предпринимательства является одним из важнейших факторов наращивания экономической базы городского округа Люберцы. Этот сектор способен быстро осваивать наиболее перспективные сегменты рынка, принося доходы в бюджет и в значительной </w:t>
      </w:r>
      <w:proofErr w:type="gramStart"/>
      <w:r>
        <w:rPr>
          <w:rFonts w:ascii="Arial" w:hAnsi="Arial" w:cs="Arial"/>
          <w:bCs/>
        </w:rPr>
        <w:t>мере</w:t>
      </w:r>
      <w:proofErr w:type="gramEnd"/>
      <w:r>
        <w:rPr>
          <w:rFonts w:ascii="Arial" w:hAnsi="Arial" w:cs="Arial"/>
          <w:bCs/>
        </w:rPr>
        <w:t xml:space="preserve"> снимая проблему безработицы.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В 2018 году на территории городского округа осуществляли хозяйственную деятельность 6 986 малых предприятий (включая </w:t>
      </w:r>
      <w:proofErr w:type="spellStart"/>
      <w:r>
        <w:rPr>
          <w:rFonts w:ascii="Arial" w:hAnsi="Arial" w:cs="Arial"/>
          <w:bCs/>
        </w:rPr>
        <w:t>микропредприятия</w:t>
      </w:r>
      <w:proofErr w:type="spellEnd"/>
      <w:r>
        <w:rPr>
          <w:rFonts w:ascii="Arial" w:hAnsi="Arial" w:cs="Arial"/>
          <w:bCs/>
        </w:rPr>
        <w:t>) без учета индивидуальных предпринимателей. По прогнозу в 2019 году их количество составит 7 174 единицы, а к концу 2022 года составит 7 552 единиц по базовому варианту прогноза.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 предприятиях малого бизнеса в 2018 году было занято 31 410 человек. По оценке в 2019 г. численность работников увеличится и составит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33 222 человек, </w:t>
      </w:r>
      <w:bookmarkStart w:id="14" w:name="OLE_LINK86"/>
      <w:bookmarkStart w:id="15" w:name="OLE_LINK85"/>
      <w:bookmarkStart w:id="16" w:name="OLE_LINK84"/>
      <w:bookmarkStart w:id="17" w:name="OLE_LINK83"/>
      <w:r>
        <w:rPr>
          <w:rFonts w:ascii="Arial" w:hAnsi="Arial" w:cs="Arial"/>
          <w:bCs/>
        </w:rPr>
        <w:t xml:space="preserve">а на конец прогнозируемого периода - 39 729 человек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>по базовому варианту прогноза.</w:t>
      </w:r>
    </w:p>
    <w:bookmarkEnd w:id="14"/>
    <w:bookmarkEnd w:id="15"/>
    <w:bookmarkEnd w:id="16"/>
    <w:bookmarkEnd w:id="17"/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Средняя заработная плата работников малых предприятий в 2018 году составила 33 563,6 рублей. По оценке в 2019 году она составит 33 564,1 рублей.  В 2022 г. размер средней заработной платы работников малых предприятий должен составить 33 564,9 - 33 616,5 рублей.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Традиционно малое предпринимательство занимает ведущие позиции </w:t>
      </w:r>
      <w:r>
        <w:rPr>
          <w:rFonts w:ascii="Arial" w:hAnsi="Arial" w:cs="Arial"/>
          <w:bCs/>
        </w:rPr>
        <w:br/>
        <w:t xml:space="preserve">в таких отраслях народного хозяйства городского округа как торговля </w:t>
      </w:r>
      <w:r>
        <w:rPr>
          <w:rFonts w:ascii="Arial" w:hAnsi="Arial" w:cs="Arial"/>
          <w:bCs/>
        </w:rPr>
        <w:br/>
        <w:t>и бытовое обслуживание. Но наряду с этим, весьма успешно работают малые предприятия и в отраслях промышленности, строительства, транспорта, науки.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Предприятия малого бизнеса городского округа выпускают широкий спектр продукции и товаров, а также оказывают разнообразные услуги. Среди них: ООО «Скан – </w:t>
      </w:r>
      <w:proofErr w:type="spellStart"/>
      <w:r>
        <w:rPr>
          <w:rFonts w:ascii="Arial" w:hAnsi="Arial" w:cs="Arial"/>
          <w:bCs/>
        </w:rPr>
        <w:t>Юго</w:t>
      </w:r>
      <w:proofErr w:type="spellEnd"/>
      <w:r>
        <w:rPr>
          <w:rFonts w:ascii="Arial" w:hAnsi="Arial" w:cs="Arial"/>
          <w:bCs/>
        </w:rPr>
        <w:t> – Восток» - обеспечивает европейский уровень обслуживания автотехники; ООО «Лазер – Стиль» является производителем рекламных конструкций; ООО «Ваша шляпка» - является производителем дамских шляпок из пухового велюра чешской</w:t>
      </w:r>
      <w:r>
        <w:rPr>
          <w:rFonts w:ascii="Arial" w:hAnsi="Arial" w:cs="Arial"/>
        </w:rPr>
        <w:t xml:space="preserve"> фабрики «</w:t>
      </w:r>
      <w:proofErr w:type="spellStart"/>
      <w:r>
        <w:rPr>
          <w:rFonts w:ascii="Arial" w:hAnsi="Arial" w:cs="Arial"/>
        </w:rPr>
        <w:t>Тонак</w:t>
      </w:r>
      <w:proofErr w:type="spellEnd"/>
      <w:r>
        <w:rPr>
          <w:rFonts w:ascii="Arial" w:hAnsi="Arial" w:cs="Arial"/>
        </w:rPr>
        <w:t xml:space="preserve">»; </w:t>
      </w:r>
      <w:r>
        <w:rPr>
          <w:rFonts w:ascii="Arial" w:hAnsi="Arial" w:cs="Arial"/>
        </w:rPr>
        <w:br/>
        <w:t>ООО «</w:t>
      </w:r>
      <w:proofErr w:type="spellStart"/>
      <w:r>
        <w:rPr>
          <w:rFonts w:ascii="Arial" w:hAnsi="Arial" w:cs="Arial"/>
        </w:rPr>
        <w:t>Стим</w:t>
      </w:r>
      <w:proofErr w:type="spellEnd"/>
      <w:r>
        <w:rPr>
          <w:rFonts w:ascii="Arial" w:hAnsi="Arial" w:cs="Arial"/>
        </w:rPr>
        <w:t xml:space="preserve">» </w:t>
      </w:r>
      <w:r>
        <w:rPr>
          <w:rFonts w:ascii="Arial" w:hAnsi="Arial" w:cs="Arial"/>
          <w:bCs/>
        </w:rPr>
        <w:t>осуществляет выпуск трикотажных изделий; в ООО «</w:t>
      </w:r>
      <w:proofErr w:type="spellStart"/>
      <w:r>
        <w:rPr>
          <w:rFonts w:ascii="Arial" w:hAnsi="Arial" w:cs="Arial"/>
          <w:bCs/>
        </w:rPr>
        <w:t>Дипем</w:t>
      </w:r>
      <w:proofErr w:type="spellEnd"/>
      <w:r>
        <w:rPr>
          <w:rFonts w:ascii="Arial" w:hAnsi="Arial" w:cs="Arial"/>
          <w:bCs/>
        </w:rPr>
        <w:t> – Я» имеются прокатное производство и мощности для выпуска теплообменных ребристых труб; ООО «</w:t>
      </w:r>
      <w:proofErr w:type="spellStart"/>
      <w:r>
        <w:rPr>
          <w:rFonts w:ascii="Arial" w:hAnsi="Arial" w:cs="Arial"/>
          <w:bCs/>
        </w:rPr>
        <w:t>Теплопромсервис</w:t>
      </w:r>
      <w:proofErr w:type="spellEnd"/>
      <w:r>
        <w:rPr>
          <w:rFonts w:ascii="Arial" w:hAnsi="Arial" w:cs="Arial"/>
          <w:bCs/>
        </w:rPr>
        <w:t>» осуществляет теплоизоляцию зданий и сооружений, а также проектирование и монтаж тепловых сетей, систем контроля протечек на трубах; в ООО «Микросистемы» организовано производство кварцевых генераторов; ООО «Кухни «</w:t>
      </w:r>
      <w:proofErr w:type="spellStart"/>
      <w:r>
        <w:rPr>
          <w:rFonts w:ascii="Arial" w:hAnsi="Arial" w:cs="Arial"/>
          <w:bCs/>
        </w:rPr>
        <w:t>Триволи</w:t>
      </w:r>
      <w:proofErr w:type="spellEnd"/>
      <w:r>
        <w:rPr>
          <w:rFonts w:ascii="Arial" w:hAnsi="Arial" w:cs="Arial"/>
          <w:bCs/>
        </w:rPr>
        <w:t xml:space="preserve">» современное предприятие, основанное на автоматизации всех производственных процессов, способное не только изготавливать качественные кухонные гарнитуры </w:t>
      </w:r>
      <w:r>
        <w:rPr>
          <w:rFonts w:ascii="Arial" w:hAnsi="Arial" w:cs="Arial"/>
          <w:bCs/>
        </w:rPr>
        <w:br/>
        <w:t>из качественных материалов, но и чутко улавливать актуальные тенденции мебельной моды и дизайна, воплощая их в реальность.</w:t>
      </w:r>
    </w:p>
    <w:bookmarkEnd w:id="12"/>
    <w:bookmarkEnd w:id="13"/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Рост количества субъектов малого и среднего предпринимательства обусловлен стремительно развивающейся жилищной застройкой территории округа и ростом населения, в связи с этим появилась потребность в новых субъектах малого и среднего предпринимательства в таких отраслях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>как торговля и оказание услуг населению. Также благоприятными условиями для развития субъектов малого и среднего предпринимательства на территории округа являются меры региональной и муниципальной поддержки, а так же популяризация предпринимательства. В 2018 году финансовая поддержка оказана восьми субъектам малого и среднего предпринимательства на общую сумму более 6,5 млн. рублей, в том числе: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ООО «</w:t>
      </w:r>
      <w:proofErr w:type="spellStart"/>
      <w:r>
        <w:rPr>
          <w:rFonts w:ascii="Arial" w:hAnsi="Arial" w:cs="Arial"/>
          <w:bCs/>
        </w:rPr>
        <w:t>Техношкола</w:t>
      </w:r>
      <w:proofErr w:type="spellEnd"/>
      <w:r>
        <w:rPr>
          <w:rFonts w:ascii="Arial" w:hAnsi="Arial" w:cs="Arial"/>
          <w:bCs/>
        </w:rPr>
        <w:t>» - 2 586 274 рублей;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АО «РГ-</w:t>
      </w:r>
      <w:proofErr w:type="spellStart"/>
      <w:r>
        <w:rPr>
          <w:rFonts w:ascii="Arial" w:hAnsi="Arial" w:cs="Arial"/>
          <w:bCs/>
        </w:rPr>
        <w:t>Ремсервис</w:t>
      </w:r>
      <w:proofErr w:type="spellEnd"/>
      <w:r>
        <w:rPr>
          <w:rFonts w:ascii="Arial" w:hAnsi="Arial" w:cs="Arial"/>
          <w:bCs/>
        </w:rPr>
        <w:t>» - 864 404 рублей;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ИП Попова Н.Н.- 483 051 рублей;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АО «</w:t>
      </w:r>
      <w:proofErr w:type="spellStart"/>
      <w:r>
        <w:rPr>
          <w:rFonts w:ascii="Arial" w:hAnsi="Arial" w:cs="Arial"/>
          <w:bCs/>
        </w:rPr>
        <w:t>Октекс</w:t>
      </w:r>
      <w:proofErr w:type="spellEnd"/>
      <w:r>
        <w:rPr>
          <w:rFonts w:ascii="Arial" w:hAnsi="Arial" w:cs="Arial"/>
          <w:bCs/>
        </w:rPr>
        <w:t>» - 1 114 111 рублей;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ООО «</w:t>
      </w:r>
      <w:proofErr w:type="spellStart"/>
      <w:r>
        <w:rPr>
          <w:rFonts w:ascii="Arial" w:hAnsi="Arial" w:cs="Arial"/>
          <w:bCs/>
        </w:rPr>
        <w:t>Sky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Lake</w:t>
      </w:r>
      <w:proofErr w:type="spellEnd"/>
      <w:r>
        <w:rPr>
          <w:rFonts w:ascii="Arial" w:hAnsi="Arial" w:cs="Arial"/>
          <w:bCs/>
        </w:rPr>
        <w:t>» - 194 513 рублей;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Сыроварня «</w:t>
      </w:r>
      <w:proofErr w:type="spellStart"/>
      <w:r>
        <w:rPr>
          <w:rFonts w:ascii="Arial" w:hAnsi="Arial" w:cs="Arial"/>
          <w:bCs/>
        </w:rPr>
        <w:t>DolceLatte</w:t>
      </w:r>
      <w:proofErr w:type="spellEnd"/>
      <w:r>
        <w:rPr>
          <w:rFonts w:ascii="Arial" w:hAnsi="Arial" w:cs="Arial"/>
          <w:bCs/>
        </w:rPr>
        <w:t>» - 713 434 рублей;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ИП Сергеев Д.А. - 450 000 рублей;</w:t>
      </w:r>
    </w:p>
    <w:p w:rsidR="00B55D6F" w:rsidRDefault="00B55D6F" w:rsidP="00B55D6F">
      <w:pPr>
        <w:numPr>
          <w:ilvl w:val="0"/>
          <w:numId w:val="4"/>
        </w:numPr>
        <w:tabs>
          <w:tab w:val="left" w:pos="284"/>
        </w:tabs>
        <w:ind w:hanging="50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ООО «К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>» - 450 000 рублей.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В 2019 году в рамках муниципальной программы «Предпринимательство городского округа Люберцы Московской области» мероприятия по финансовой поддержке субъектов малого и среднего бизнеса запланированы в размере </w:t>
      </w:r>
      <w:r>
        <w:rPr>
          <w:rFonts w:ascii="Arial" w:hAnsi="Arial" w:cs="Arial"/>
          <w:bCs/>
        </w:rPr>
        <w:br/>
        <w:t xml:space="preserve">7,5 млн. рублей.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Администрацией городского округа Люберцы совместно </w:t>
      </w:r>
      <w:r>
        <w:rPr>
          <w:rFonts w:ascii="Arial" w:hAnsi="Arial" w:cs="Arial"/>
          <w:bCs/>
        </w:rPr>
        <w:br/>
        <w:t>с Министерством инвестиций и инноваций Московской области планируются следующие мероприятия поддержки малого бизнеса:</w:t>
      </w:r>
    </w:p>
    <w:p w:rsidR="00B55D6F" w:rsidRDefault="00B55D6F" w:rsidP="00B55D6F">
      <w:pPr>
        <w:numPr>
          <w:ilvl w:val="0"/>
          <w:numId w:val="6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проведение семинаров, форумов, </w:t>
      </w:r>
      <w:proofErr w:type="spellStart"/>
      <w:r>
        <w:rPr>
          <w:rFonts w:ascii="Arial" w:hAnsi="Arial" w:cs="Arial"/>
          <w:bCs/>
        </w:rPr>
        <w:t>тренинговых</w:t>
      </w:r>
      <w:proofErr w:type="spellEnd"/>
      <w:r>
        <w:rPr>
          <w:rFonts w:ascii="Arial" w:hAnsi="Arial" w:cs="Arial"/>
          <w:bCs/>
        </w:rPr>
        <w:t xml:space="preserve"> мероприятий направленных на поддержку малого и среднего предпринимательства, популяризацию предпринимательства;</w:t>
      </w:r>
    </w:p>
    <w:p w:rsidR="00B55D6F" w:rsidRDefault="00B55D6F" w:rsidP="00B55D6F">
      <w:pPr>
        <w:numPr>
          <w:ilvl w:val="0"/>
          <w:numId w:val="6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участие субъектов малого и среднего предпринимательства городского округа Люберцы в конкурсе по отбору заявок субъектов малого и среднего предпринимательства на право предоставления субсидии на реализацию мероприятий подпрограммы III «Развитие малого и среднего предпринимательства в Московской области» государственной программы Московской области «Предпринимательство Подмосковья». </w:t>
      </w:r>
    </w:p>
    <w:p w:rsidR="00B55D6F" w:rsidRDefault="00B55D6F" w:rsidP="00B55D6F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В первом полугодии 2019 года в Люберцах открылся муниципальный центр оказания услуг «Мой бизнес». Основная задача данного центра – это объединение всех существующих мер и институтов поддержки предпринимательства в одном месте. В данном центре действующие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>и будущие предприниматели смогут по принципу «одного окна» получить все необходимые услуги для начала и ведения предпринимательской деятельности, и получить ответы на все основные вопросы, касающиеся бизнеса.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  <w:lang w:val="x-none" w:eastAsia="x-none"/>
        </w:rPr>
      </w:pPr>
      <w:r>
        <w:rPr>
          <w:rFonts w:ascii="Arial" w:hAnsi="Arial" w:cs="Arial"/>
          <w:b/>
        </w:rPr>
        <w:t>Инвестиции</w:t>
      </w:r>
      <w:r>
        <w:rPr>
          <w:rFonts w:ascii="Arial" w:hAnsi="Arial" w:cs="Arial"/>
          <w:b/>
          <w:lang w:val="x-none" w:eastAsia="x-none"/>
        </w:rPr>
        <w:t xml:space="preserve"> и </w:t>
      </w:r>
      <w:r>
        <w:rPr>
          <w:rFonts w:ascii="Arial" w:hAnsi="Arial" w:cs="Arial"/>
          <w:b/>
        </w:rPr>
        <w:t>строительство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bookmarkStart w:id="18" w:name="OLE_LINK203"/>
      <w:bookmarkStart w:id="19" w:name="OLE_LINK202"/>
      <w:bookmarkStart w:id="20" w:name="OLE_LINK198"/>
      <w:bookmarkStart w:id="21" w:name="OLE_LINK197"/>
      <w:bookmarkStart w:id="22" w:name="OLE_LINK196"/>
      <w:r>
        <w:rPr>
          <w:rFonts w:ascii="Arial" w:hAnsi="Arial" w:cs="Arial"/>
        </w:rPr>
        <w:t xml:space="preserve">По итогам 2018 года объем инвестиций в основной капитал за счет всех источников финансирования в ценах соответствующих лет составил </w:t>
      </w:r>
      <w:r>
        <w:rPr>
          <w:rFonts w:ascii="Arial" w:hAnsi="Arial" w:cs="Arial"/>
        </w:rPr>
        <w:br/>
        <w:t>35,13 млрд. рублей (113,3 % к 2017 г.). Согласно данным статистического наблюдения, объем инвестиций в основной капитал за счет всех источников финансирования по организациям, не относящимся к субъектам малого предпринимательства, составил 19,696 млрд. рублей, из которого:</w:t>
      </w:r>
    </w:p>
    <w:p w:rsidR="00B55D6F" w:rsidRDefault="00B55D6F" w:rsidP="00B55D6F">
      <w:pPr>
        <w:numPr>
          <w:ilvl w:val="0"/>
          <w:numId w:val="8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70,1%  приходится на жилые здания и помещения;</w:t>
      </w:r>
    </w:p>
    <w:p w:rsidR="00B55D6F" w:rsidRDefault="00B55D6F" w:rsidP="00B55D6F">
      <w:pPr>
        <w:numPr>
          <w:ilvl w:val="0"/>
          <w:numId w:val="8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14,8% - здания (кроме </w:t>
      </w:r>
      <w:proofErr w:type="gramStart"/>
      <w:r>
        <w:rPr>
          <w:rFonts w:ascii="Arial" w:hAnsi="Arial" w:cs="Arial"/>
        </w:rPr>
        <w:t>жилых</w:t>
      </w:r>
      <w:proofErr w:type="gramEnd"/>
      <w:r>
        <w:rPr>
          <w:rFonts w:ascii="Arial" w:hAnsi="Arial" w:cs="Arial"/>
        </w:rPr>
        <w:t>) и сооружения;</w:t>
      </w:r>
    </w:p>
    <w:p w:rsidR="00B55D6F" w:rsidRDefault="00B55D6F" w:rsidP="00B55D6F">
      <w:pPr>
        <w:numPr>
          <w:ilvl w:val="0"/>
          <w:numId w:val="8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7,1% - машины и оборудование;</w:t>
      </w:r>
    </w:p>
    <w:p w:rsidR="00B55D6F" w:rsidRDefault="00B55D6F" w:rsidP="00B55D6F">
      <w:pPr>
        <w:numPr>
          <w:ilvl w:val="0"/>
          <w:numId w:val="8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2,8% - научные исследования и разработки;</w:t>
      </w:r>
    </w:p>
    <w:p w:rsidR="00B55D6F" w:rsidRDefault="00B55D6F" w:rsidP="00B55D6F">
      <w:pPr>
        <w:numPr>
          <w:ilvl w:val="0"/>
          <w:numId w:val="8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2,7% - информационное, компьютерное и телекоммуникационное оборудование.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На территории городского округа Люберцы в стадии реализации находятся следующие масштабные инвестиционные проекты комплексной жилой застройки территорий:</w:t>
      </w:r>
    </w:p>
    <w:p w:rsidR="00B55D6F" w:rsidRDefault="00B55D6F" w:rsidP="00B55D6F">
      <w:pPr>
        <w:numPr>
          <w:ilvl w:val="0"/>
          <w:numId w:val="1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«Самолет </w:t>
      </w:r>
      <w:proofErr w:type="spellStart"/>
      <w:r>
        <w:rPr>
          <w:rFonts w:ascii="Arial" w:hAnsi="Arial" w:cs="Arial"/>
        </w:rPr>
        <w:t>Девелопмент</w:t>
      </w:r>
      <w:proofErr w:type="spellEnd"/>
      <w:r>
        <w:rPr>
          <w:rFonts w:ascii="Arial" w:hAnsi="Arial" w:cs="Arial"/>
        </w:rPr>
        <w:t xml:space="preserve">» - жилой комплекс северо-восточной части городского округа с общей площадью более 1 млн. кв. м с объектами социального назначения, коммунальной и транспортной инфраструктуры. Срок реализации до 2023 года; </w:t>
      </w:r>
    </w:p>
    <w:p w:rsidR="00B55D6F" w:rsidRDefault="00B55D6F" w:rsidP="00B55D6F">
      <w:pPr>
        <w:numPr>
          <w:ilvl w:val="0"/>
          <w:numId w:val="1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«Самолет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» - строительство в пос.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 около 1 млн. кв. м. общей площади квартир с объектами социального назначения, коммунальной и транспортной инфраструктуры. Срок реализации проекта </w:t>
      </w:r>
      <w:r>
        <w:rPr>
          <w:rFonts w:ascii="Arial" w:hAnsi="Arial" w:cs="Arial"/>
        </w:rPr>
        <w:br/>
        <w:t>до 2029 года;</w:t>
      </w:r>
    </w:p>
    <w:p w:rsidR="00B55D6F" w:rsidRDefault="00B55D6F" w:rsidP="00B55D6F">
      <w:pPr>
        <w:numPr>
          <w:ilvl w:val="0"/>
          <w:numId w:val="1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РегионИнвест</w:t>
      </w:r>
      <w:proofErr w:type="spellEnd"/>
      <w:r>
        <w:rPr>
          <w:rFonts w:ascii="Arial" w:hAnsi="Arial" w:cs="Arial"/>
        </w:rPr>
        <w:t xml:space="preserve">» - строительство по ул.8 Марта около 300 тыс. кв. м. с объектами социального и коммунального назначения. Срок реализации – </w:t>
      </w:r>
      <w:r>
        <w:rPr>
          <w:rFonts w:ascii="Arial" w:hAnsi="Arial" w:cs="Arial"/>
        </w:rPr>
        <w:br/>
        <w:t xml:space="preserve">до 2025 года; </w:t>
      </w:r>
    </w:p>
    <w:p w:rsidR="00B55D6F" w:rsidRDefault="00B55D6F" w:rsidP="00B55D6F">
      <w:pPr>
        <w:numPr>
          <w:ilvl w:val="0"/>
          <w:numId w:val="1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«Мегаполис» - строительство в городке «Б» более 300 тыс. кв. м квартир с объектами социального и коммунального назначения. Срок реализации – до 2027 года;</w:t>
      </w:r>
    </w:p>
    <w:p w:rsidR="00B55D6F" w:rsidRDefault="00B55D6F" w:rsidP="00B55D6F">
      <w:pPr>
        <w:numPr>
          <w:ilvl w:val="0"/>
          <w:numId w:val="1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РусСтройГарант</w:t>
      </w:r>
      <w:proofErr w:type="spellEnd"/>
      <w:r>
        <w:rPr>
          <w:rFonts w:ascii="Arial" w:hAnsi="Arial" w:cs="Arial"/>
        </w:rPr>
        <w:t>» - строительство в мкр.12 более 300 тыс. кв. м. жилой площади с объектами социального и коммунального назначения. Срок реализации до 2023 года.</w:t>
      </w:r>
    </w:p>
    <w:p w:rsidR="00B55D6F" w:rsidRDefault="00B55D6F" w:rsidP="00B55D6F">
      <w:pPr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Наряду с проектами комплексного освоения территории, осуществляется реализация инвестиционных проектов в сфере промышленности </w:t>
      </w:r>
      <w:r>
        <w:rPr>
          <w:rFonts w:ascii="Arial" w:hAnsi="Arial" w:cs="Arial"/>
        </w:rPr>
        <w:br/>
        <w:t xml:space="preserve"> (АО «Московский вертолетный завод им. </w:t>
      </w:r>
      <w:proofErr w:type="spellStart"/>
      <w:r>
        <w:rPr>
          <w:rFonts w:ascii="Arial" w:hAnsi="Arial" w:cs="Arial"/>
        </w:rPr>
        <w:t>М.Л.Миля</w:t>
      </w:r>
      <w:proofErr w:type="spellEnd"/>
      <w:r>
        <w:rPr>
          <w:rFonts w:ascii="Arial" w:hAnsi="Arial" w:cs="Arial"/>
        </w:rPr>
        <w:t>», ООО «</w:t>
      </w:r>
      <w:proofErr w:type="spellStart"/>
      <w:r>
        <w:rPr>
          <w:rFonts w:ascii="Arial" w:hAnsi="Arial" w:cs="Arial"/>
        </w:rPr>
        <w:t>Пехорский</w:t>
      </w:r>
      <w:proofErr w:type="spellEnd"/>
      <w:r>
        <w:rPr>
          <w:rFonts w:ascii="Arial" w:hAnsi="Arial" w:cs="Arial"/>
        </w:rPr>
        <w:t xml:space="preserve"> текстиль», НПО «</w:t>
      </w:r>
      <w:proofErr w:type="spellStart"/>
      <w:r>
        <w:rPr>
          <w:rFonts w:ascii="Arial" w:hAnsi="Arial" w:cs="Arial"/>
        </w:rPr>
        <w:t>Энергоконтракт</w:t>
      </w:r>
      <w:proofErr w:type="spellEnd"/>
      <w:r>
        <w:rPr>
          <w:rFonts w:ascii="Arial" w:hAnsi="Arial" w:cs="Arial"/>
        </w:rPr>
        <w:t xml:space="preserve">»), логистики (ООО «ИРЕК»), а также  модернизация предприятий промышленности (ОАО «НПП «Звезда»,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 xml:space="preserve">ОАО «Камов», ООО «Кондитерская фабрика «Волшебница»), торговли </w:t>
      </w:r>
      <w:r>
        <w:rPr>
          <w:rFonts w:ascii="Arial" w:hAnsi="Arial" w:cs="Arial"/>
        </w:rPr>
        <w:br/>
        <w:t>(ГК «Перекресток»), транспортной инфраструктуры (реконструкция автомобильной дороги Марусино-</w:t>
      </w:r>
      <w:proofErr w:type="spellStart"/>
      <w:r>
        <w:rPr>
          <w:rFonts w:ascii="Arial" w:hAnsi="Arial" w:cs="Arial"/>
        </w:rPr>
        <w:t>Зенино</w:t>
      </w:r>
      <w:proofErr w:type="spellEnd"/>
      <w:r>
        <w:rPr>
          <w:rFonts w:ascii="Arial" w:hAnsi="Arial" w:cs="Arial"/>
        </w:rPr>
        <w:t>).</w:t>
      </w:r>
      <w:proofErr w:type="gramEnd"/>
    </w:p>
    <w:p w:rsidR="00B55D6F" w:rsidRDefault="00B55D6F" w:rsidP="00B55D6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инвестиционных проектов, реализуемых на территории городского округа, показал достаточно большое количество проектов, приходящихся на застройщиков, внесенных в реестр субъектов малого предпринимательства. Объем инвестиций в основной капитал субъектов малого предпринимательства в 2018 году составил 15,437 млрд. рублей. В данном показателе также наибольший удельный вес приходится на инвестиционные проекты, реализуемые в рамках комплексного освоения территории. Наиболее крупными проектами, реализуемыми субъектами малого предпринимательства, в сфере жилищного строительства являются такие как:</w:t>
      </w:r>
    </w:p>
    <w:p w:rsidR="00B55D6F" w:rsidRDefault="00B55D6F" w:rsidP="00B55D6F">
      <w:pPr>
        <w:numPr>
          <w:ilvl w:val="0"/>
          <w:numId w:val="12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развитие застроенной территории </w:t>
      </w:r>
      <w:proofErr w:type="spellStart"/>
      <w:r>
        <w:rPr>
          <w:rFonts w:ascii="Arial" w:hAnsi="Arial" w:cs="Arial"/>
        </w:rPr>
        <w:t>мкр</w:t>
      </w:r>
      <w:proofErr w:type="spellEnd"/>
      <w:r>
        <w:rPr>
          <w:rFonts w:ascii="Arial" w:hAnsi="Arial" w:cs="Arial"/>
        </w:rPr>
        <w:t>. 35Ж г. Люберцы (застройщик ООО «ИСК Ареал») предусматривает до 2020 года ввод более 92 тыс. кв. м. общей площади квартир, а также объектов социальной и инженерной инфраструктуры;</w:t>
      </w:r>
    </w:p>
    <w:p w:rsidR="00B55D6F" w:rsidRDefault="00B55D6F" w:rsidP="00B55D6F">
      <w:pPr>
        <w:numPr>
          <w:ilvl w:val="0"/>
          <w:numId w:val="12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комплексная застройка земельного участка, расположенного </w:t>
      </w:r>
      <w:r>
        <w:rPr>
          <w:rFonts w:ascii="Arial" w:hAnsi="Arial" w:cs="Arial"/>
        </w:rPr>
        <w:br/>
        <w:t xml:space="preserve">в п.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(Застройщик – ООО «ЖСИ Проект») предусматривает </w:t>
      </w:r>
      <w:r>
        <w:rPr>
          <w:rFonts w:ascii="Arial" w:hAnsi="Arial" w:cs="Arial"/>
        </w:rPr>
        <w:br/>
        <w:t xml:space="preserve">до 2021 года строительство общей площади квартир 153 тыс. кв. м., </w:t>
      </w:r>
      <w:r>
        <w:rPr>
          <w:rFonts w:ascii="Arial" w:hAnsi="Arial" w:cs="Arial"/>
        </w:rPr>
        <w:br/>
        <w:t>с объектами инженерной и социальной инфраструктуры;</w:t>
      </w:r>
    </w:p>
    <w:p w:rsidR="00B55D6F" w:rsidRDefault="00B55D6F" w:rsidP="00B55D6F">
      <w:pPr>
        <w:numPr>
          <w:ilvl w:val="0"/>
          <w:numId w:val="12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строительство жилого комплекса по ул. </w:t>
      </w:r>
      <w:proofErr w:type="gramStart"/>
      <w:r>
        <w:rPr>
          <w:rFonts w:ascii="Arial" w:hAnsi="Arial" w:cs="Arial"/>
        </w:rPr>
        <w:t>Инициативная</w:t>
      </w:r>
      <w:proofErr w:type="gramEnd"/>
      <w:r>
        <w:rPr>
          <w:rFonts w:ascii="Arial" w:hAnsi="Arial" w:cs="Arial"/>
        </w:rPr>
        <w:t xml:space="preserve"> (Застройщик – ООО «</w:t>
      </w:r>
      <w:proofErr w:type="spellStart"/>
      <w:r>
        <w:rPr>
          <w:rFonts w:ascii="Arial" w:hAnsi="Arial" w:cs="Arial"/>
        </w:rPr>
        <w:t>Искона</w:t>
      </w:r>
      <w:proofErr w:type="spellEnd"/>
      <w:r>
        <w:rPr>
          <w:rFonts w:ascii="Arial" w:hAnsi="Arial" w:cs="Arial"/>
        </w:rPr>
        <w:t>») общей площадью 48 тыс. кв. м.</w:t>
      </w:r>
    </w:p>
    <w:bookmarkEnd w:id="18"/>
    <w:bookmarkEnd w:id="19"/>
    <w:bookmarkEnd w:id="20"/>
    <w:bookmarkEnd w:id="21"/>
    <w:bookmarkEnd w:id="22"/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Труд и занятость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целом рынок труда значительной степенью определятся устойчивым ростом численности населения городского округа Люберцы. Наметившиеся позитивные тенденции социально-экономического развития, создание новых рабочих мест будут оказывать влияние на снижение численности безработных граждан в прогнозном периоде: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численность официально зарегистрированных безработных </w:t>
      </w:r>
      <w:proofErr w:type="gramStart"/>
      <w:r>
        <w:rPr>
          <w:rFonts w:ascii="Arial" w:hAnsi="Arial" w:cs="Arial"/>
        </w:rPr>
        <w:t>на конец</w:t>
      </w:r>
      <w:proofErr w:type="gramEnd"/>
      <w:r>
        <w:rPr>
          <w:rFonts w:ascii="Arial" w:hAnsi="Arial" w:cs="Arial"/>
        </w:rPr>
        <w:t xml:space="preserve"> 2017 года составила 821 человек, а на конец года 2018 года составила 745 человек - уменьшилась на 76. К концу 2019 года количество безработных ожидается </w:t>
      </w:r>
      <w:r>
        <w:rPr>
          <w:rFonts w:ascii="Arial" w:hAnsi="Arial" w:cs="Arial"/>
        </w:rPr>
        <w:br/>
        <w:t>на уровне 849 человек;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уровень официально зарегистрированной безработицы </w:t>
      </w:r>
      <w:proofErr w:type="gramStart"/>
      <w:r>
        <w:rPr>
          <w:rFonts w:ascii="Arial" w:hAnsi="Arial" w:cs="Arial"/>
        </w:rPr>
        <w:t>на конец</w:t>
      </w:r>
      <w:proofErr w:type="gramEnd"/>
      <w:r>
        <w:rPr>
          <w:rFonts w:ascii="Arial" w:hAnsi="Arial" w:cs="Arial"/>
        </w:rPr>
        <w:t xml:space="preserve"> 2018 года составил 0,46 % к экономически активному населению, за истекший период 2019 года составляет 0,48 %. </w:t>
      </w:r>
      <w:r>
        <w:rPr>
          <w:rFonts w:ascii="Arial" w:hAnsi="Arial" w:cs="Arial"/>
          <w:bCs/>
        </w:rPr>
        <w:t>В прогнозном периоде ожидается плавное снижение показателя уровня безработицы на конец года до 0,44 %;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коэффициент напряженности на рынке труда в 2018 г. составил 0,85 %, </w:t>
      </w:r>
      <w:r>
        <w:rPr>
          <w:rFonts w:ascii="Arial" w:hAnsi="Arial" w:cs="Arial"/>
        </w:rPr>
        <w:br/>
        <w:t xml:space="preserve">за истекший период 2019 г. - 1,02 %. </w:t>
      </w:r>
    </w:p>
    <w:p w:rsidR="00B55D6F" w:rsidRDefault="00B55D6F" w:rsidP="00B55D6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2018 году на предприятиях городского округа было создано 1778 новых рабочих мест, из них: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АО «МВЗ им. М.Л. Миля» - 79 рабочих мест;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АО «СТРОЙТРАНСГАЗ» (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>) - 18 рабочих мест;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АО «</w:t>
      </w:r>
      <w:proofErr w:type="spellStart"/>
      <w:r>
        <w:rPr>
          <w:rFonts w:ascii="Arial" w:hAnsi="Arial" w:cs="Arial"/>
        </w:rPr>
        <w:t>Октекс</w:t>
      </w:r>
      <w:proofErr w:type="spellEnd"/>
      <w:r>
        <w:rPr>
          <w:rFonts w:ascii="Arial" w:hAnsi="Arial" w:cs="Arial"/>
        </w:rPr>
        <w:t>» - 7 рабочих мест;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ООО «Ирвин-2» - 17 рабочих мест;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ООО «ВТОРЧЕРМЕТ НЛМК Центр» - 10 рабочих мест;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ООО НПФ «ТРЕКОЛ» - 5 рабочих мест;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ООО «КФ Волшебница» - 4 рабочих мест;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более 350 рабочих мест - в бюджетном секторе экономики (детские сады, школа, культурно-просветительский центр). 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2019 году планируется создание более 600 новых рабочих мест, в том числе:</w:t>
      </w:r>
    </w:p>
    <w:p w:rsidR="00B55D6F" w:rsidRDefault="00B55D6F" w:rsidP="00B55D6F">
      <w:pPr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АО «Люберецкий завод «</w:t>
      </w:r>
      <w:proofErr w:type="spellStart"/>
      <w:r>
        <w:rPr>
          <w:rFonts w:ascii="Arial" w:hAnsi="Arial" w:cs="Arial"/>
          <w:bCs/>
        </w:rPr>
        <w:t>Монтажавтоматика</w:t>
      </w:r>
      <w:proofErr w:type="spellEnd"/>
      <w:r>
        <w:rPr>
          <w:rFonts w:ascii="Arial" w:hAnsi="Arial" w:cs="Arial"/>
          <w:bCs/>
        </w:rPr>
        <w:t>» - более 100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ТП «Лидер» - 20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ООО «</w:t>
      </w:r>
      <w:proofErr w:type="spellStart"/>
      <w:r>
        <w:rPr>
          <w:rFonts w:ascii="Arial" w:hAnsi="Arial" w:cs="Arial"/>
          <w:bCs/>
        </w:rPr>
        <w:t>Пехорский</w:t>
      </w:r>
      <w:proofErr w:type="spellEnd"/>
      <w:r>
        <w:rPr>
          <w:rFonts w:ascii="Arial" w:hAnsi="Arial" w:cs="Arial"/>
          <w:bCs/>
        </w:rPr>
        <w:t xml:space="preserve"> текстиль» - 17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АО «</w:t>
      </w:r>
      <w:proofErr w:type="spellStart"/>
      <w:r>
        <w:rPr>
          <w:rFonts w:ascii="Arial" w:hAnsi="Arial" w:cs="Arial"/>
          <w:bCs/>
        </w:rPr>
        <w:t>Энергоконтракт-Томилино</w:t>
      </w:r>
      <w:proofErr w:type="spellEnd"/>
      <w:r>
        <w:rPr>
          <w:rFonts w:ascii="Arial" w:hAnsi="Arial" w:cs="Arial"/>
          <w:bCs/>
        </w:rPr>
        <w:t>» - 30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ООО НПП ТЭЗ» - 11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АО «СТРОЙТРАНСГАЗ»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- 15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АО «Подмосковье» - 37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АО «МВЗ им. М.Л. Миля» - 35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ООО «Самолет </w:t>
      </w:r>
      <w:proofErr w:type="spellStart"/>
      <w:r>
        <w:rPr>
          <w:rFonts w:ascii="Arial" w:hAnsi="Arial" w:cs="Arial"/>
          <w:bCs/>
        </w:rPr>
        <w:t>Девелопмент</w:t>
      </w:r>
      <w:proofErr w:type="spellEnd"/>
      <w:r>
        <w:rPr>
          <w:rFonts w:ascii="Arial" w:hAnsi="Arial" w:cs="Arial"/>
          <w:bCs/>
        </w:rPr>
        <w:t>» - 45 новых рабочих мест;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ООО «АС-Терминал» - 15 НРМ;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детский сад в </w:t>
      </w:r>
      <w:proofErr w:type="spellStart"/>
      <w:r>
        <w:rPr>
          <w:rFonts w:ascii="Arial" w:hAnsi="Arial" w:cs="Arial"/>
          <w:bCs/>
        </w:rPr>
        <w:t>мкр</w:t>
      </w:r>
      <w:proofErr w:type="spellEnd"/>
      <w:r>
        <w:rPr>
          <w:rFonts w:ascii="Arial" w:hAnsi="Arial" w:cs="Arial"/>
          <w:bCs/>
        </w:rPr>
        <w:t>. 35Ж, г. Люберцы - 63 новых рабочих места;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детский сад в </w:t>
      </w:r>
      <w:proofErr w:type="spellStart"/>
      <w:r>
        <w:rPr>
          <w:rFonts w:ascii="Arial" w:hAnsi="Arial" w:cs="Arial"/>
          <w:bCs/>
        </w:rPr>
        <w:t>мкр</w:t>
      </w:r>
      <w:proofErr w:type="spellEnd"/>
      <w:r>
        <w:rPr>
          <w:rFonts w:ascii="Arial" w:hAnsi="Arial" w:cs="Arial"/>
          <w:bCs/>
        </w:rPr>
        <w:t>. 1А г. Люберцы - 71 новое рабочее место;</w:t>
      </w:r>
    </w:p>
    <w:p w:rsidR="00B55D6F" w:rsidRDefault="00B55D6F" w:rsidP="00B55D6F">
      <w:pPr>
        <w:numPr>
          <w:ilvl w:val="0"/>
          <w:numId w:val="1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школа на 1100 мест «</w:t>
      </w:r>
      <w:proofErr w:type="spellStart"/>
      <w:r>
        <w:rPr>
          <w:rFonts w:ascii="Arial" w:hAnsi="Arial" w:cs="Arial"/>
          <w:bCs/>
        </w:rPr>
        <w:t>Зенино</w:t>
      </w:r>
      <w:proofErr w:type="spellEnd"/>
      <w:r>
        <w:rPr>
          <w:rFonts w:ascii="Arial" w:hAnsi="Arial" w:cs="Arial"/>
          <w:bCs/>
        </w:rPr>
        <w:t>» - более 100 новых рабочих мест.</w:t>
      </w:r>
    </w:p>
    <w:p w:rsidR="00B55D6F" w:rsidRDefault="00B55D6F" w:rsidP="00B55D6F">
      <w:pPr>
        <w:ind w:firstLine="6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связи с вводом новостроек, развитием территорий сохранится необходимость в создании новых рабочих ме</w:t>
      </w:r>
      <w:proofErr w:type="gramStart"/>
      <w:r>
        <w:rPr>
          <w:rFonts w:ascii="Arial" w:hAnsi="Arial" w:cs="Arial"/>
          <w:bCs/>
        </w:rPr>
        <w:t>ст в стр</w:t>
      </w:r>
      <w:proofErr w:type="gramEnd"/>
      <w:r>
        <w:rPr>
          <w:rFonts w:ascii="Arial" w:hAnsi="Arial" w:cs="Arial"/>
          <w:bCs/>
        </w:rPr>
        <w:t>уктуре обеспечения населения социальными и иными объектами, а также тенденция роста вновь создаваемых организаций и индивидуальных предпринимателей в сфере производства и услуг.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В городском округе Люберцы крупными и </w:t>
      </w:r>
      <w:proofErr w:type="gramStart"/>
      <w:r>
        <w:rPr>
          <w:rFonts w:ascii="Arial" w:hAnsi="Arial" w:cs="Arial"/>
          <w:bCs/>
        </w:rPr>
        <w:t>средними организациями, определяющими динамику фонда заработной платы являются</w:t>
      </w:r>
      <w:proofErr w:type="gramEnd"/>
      <w:r>
        <w:rPr>
          <w:rFonts w:ascii="Arial" w:hAnsi="Arial" w:cs="Arial"/>
          <w:bCs/>
        </w:rPr>
        <w:t xml:space="preserve">: </w:t>
      </w:r>
      <w:proofErr w:type="gramStart"/>
      <w:r>
        <w:rPr>
          <w:rFonts w:ascii="Arial" w:hAnsi="Arial" w:cs="Arial"/>
          <w:bCs/>
        </w:rPr>
        <w:t xml:space="preserve">АО «Камов» (научные исследования и разработки в области естественных и технических наук); АО «МВЗ им. М. Л. Миля» (научные исследования и разработки                       в области естественных и технических наук»; ООО «Ирвин 2» (торговля оптовая фармацевтической продукцией); АО «НПП «Звезда» (научные исследования и разработки в области естественных и технических наук);                ООО «Самолет </w:t>
      </w:r>
      <w:proofErr w:type="spellStart"/>
      <w:r>
        <w:rPr>
          <w:rFonts w:ascii="Arial" w:hAnsi="Arial" w:cs="Arial"/>
          <w:bCs/>
        </w:rPr>
        <w:t>Девелопмент</w:t>
      </w:r>
      <w:proofErr w:type="spellEnd"/>
      <w:r>
        <w:rPr>
          <w:rFonts w:ascii="Arial" w:hAnsi="Arial" w:cs="Arial"/>
          <w:bCs/>
        </w:rPr>
        <w:t>» (консультирование по вопросам коммерческой деятельности и управления);</w:t>
      </w:r>
      <w:proofErr w:type="gramEnd"/>
      <w:r>
        <w:rPr>
          <w:rFonts w:ascii="Arial" w:hAnsi="Arial" w:cs="Arial"/>
          <w:bCs/>
        </w:rPr>
        <w:t xml:space="preserve"> ПАО СК «РОСГОССТРАХ» (страхование, кроме страхования жизни).</w:t>
      </w:r>
    </w:p>
    <w:p w:rsidR="00B55D6F" w:rsidRDefault="00B55D6F" w:rsidP="00B55D6F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2018 году наибольший удельный вес в структуре фонда заработной платы составляли следующие виды деятельности:</w:t>
      </w:r>
    </w:p>
    <w:p w:rsidR="00B55D6F" w:rsidRDefault="00B55D6F" w:rsidP="00B55D6F">
      <w:pPr>
        <w:numPr>
          <w:ilvl w:val="0"/>
          <w:numId w:val="16"/>
        </w:numPr>
        <w:ind w:left="0" w:firstLine="993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 xml:space="preserve">23,8 % - Деятельность профессиональная, научная и техническая (АО «МВЗ им. М. Л. Миля», АО «Камов», ООО «Самолет </w:t>
      </w:r>
      <w:proofErr w:type="spellStart"/>
      <w:r>
        <w:rPr>
          <w:rFonts w:ascii="Arial" w:hAnsi="Arial" w:cs="Arial"/>
          <w:bCs/>
        </w:rPr>
        <w:t>Девелопмент</w:t>
      </w:r>
      <w:proofErr w:type="spellEnd"/>
      <w:r>
        <w:rPr>
          <w:rFonts w:ascii="Arial" w:hAnsi="Arial" w:cs="Arial"/>
          <w:bCs/>
        </w:rPr>
        <w:t>»,</w:t>
      </w:r>
      <w:r>
        <w:rPr>
          <w:rFonts w:ascii="Arial" w:hAnsi="Arial" w:cs="Arial"/>
          <w:bCs/>
        </w:rPr>
        <w:br/>
        <w:t xml:space="preserve"> АО «НПП «Звезда»);</w:t>
      </w:r>
      <w:proofErr w:type="gramEnd"/>
    </w:p>
    <w:p w:rsidR="00B55D6F" w:rsidRDefault="00B55D6F" w:rsidP="00B55D6F">
      <w:pPr>
        <w:numPr>
          <w:ilvl w:val="0"/>
          <w:numId w:val="16"/>
        </w:numPr>
        <w:ind w:left="0" w:firstLine="99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14,0 % - Торговля оптовая и розничная; ремонт автотранспортных средств и мотоциклов (ООО «Ирвин 2», ООО «ЛЕРУА МЕРЛЕН ВОСТОК», АО «Тандер», ООО «Дядя Ваня </w:t>
      </w:r>
      <w:proofErr w:type="spellStart"/>
      <w:r>
        <w:rPr>
          <w:rFonts w:ascii="Arial" w:hAnsi="Arial" w:cs="Arial"/>
          <w:bCs/>
        </w:rPr>
        <w:t>Трейдинг</w:t>
      </w:r>
      <w:proofErr w:type="spellEnd"/>
      <w:r>
        <w:rPr>
          <w:rFonts w:ascii="Arial" w:hAnsi="Arial" w:cs="Arial"/>
          <w:bCs/>
        </w:rPr>
        <w:t>», ООО «</w:t>
      </w:r>
      <w:proofErr w:type="spellStart"/>
      <w:r>
        <w:rPr>
          <w:rFonts w:ascii="Arial" w:hAnsi="Arial" w:cs="Arial"/>
          <w:bCs/>
        </w:rPr>
        <w:t>Интерлек</w:t>
      </w:r>
      <w:proofErr w:type="spellEnd"/>
      <w:r>
        <w:rPr>
          <w:rFonts w:ascii="Arial" w:hAnsi="Arial" w:cs="Arial"/>
          <w:bCs/>
        </w:rPr>
        <w:t>»);</w:t>
      </w:r>
    </w:p>
    <w:p w:rsidR="00B55D6F" w:rsidRDefault="00B55D6F" w:rsidP="00B55D6F">
      <w:pPr>
        <w:numPr>
          <w:ilvl w:val="0"/>
          <w:numId w:val="16"/>
        </w:numPr>
        <w:ind w:left="0" w:firstLine="10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12,1 % - Образование (Российская таможенная академия, </w:t>
      </w:r>
      <w:r>
        <w:rPr>
          <w:rFonts w:ascii="Arial" w:hAnsi="Arial" w:cs="Arial"/>
          <w:bCs/>
        </w:rPr>
        <w:br/>
        <w:t xml:space="preserve">ФГБОУ ВО МГАФК, ГБПОУ МО «Люберецкий техникум имени Героя Советского Союза, летчика-космонавта Ю.А. Гагарина»); </w:t>
      </w:r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11,7 % - Деятельность в области здравоохранения и социальных услуг (ГБУЗ МО «ЛРБ № 2», ООО «Лаборатория </w:t>
      </w:r>
      <w:proofErr w:type="spellStart"/>
      <w:r>
        <w:rPr>
          <w:rFonts w:ascii="Arial" w:hAnsi="Arial" w:cs="Arial"/>
          <w:bCs/>
        </w:rPr>
        <w:t>Гемотест</w:t>
      </w:r>
      <w:proofErr w:type="spellEnd"/>
      <w:r>
        <w:rPr>
          <w:rFonts w:ascii="Arial" w:hAnsi="Arial" w:cs="Arial"/>
          <w:bCs/>
        </w:rPr>
        <w:t>»,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ГБУЗ МО «МОЦОМД», ГБУЗ МО «ЛРБ №1»); </w:t>
      </w:r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9,3 % - Обрабатывающие производства (АО «41 центральный завод», ООО «НПП ТЭЗ», АО НПО «</w:t>
      </w:r>
      <w:proofErr w:type="spellStart"/>
      <w:r>
        <w:rPr>
          <w:rFonts w:ascii="Arial" w:hAnsi="Arial" w:cs="Arial"/>
          <w:bCs/>
        </w:rPr>
        <w:t>Энергоконтракт</w:t>
      </w:r>
      <w:proofErr w:type="spellEnd"/>
      <w:r>
        <w:rPr>
          <w:rFonts w:ascii="Arial" w:hAnsi="Arial" w:cs="Arial"/>
          <w:bCs/>
        </w:rPr>
        <w:t>», АО «НПП «ЭЛТОМ», ЗАО «ВИК «ТЕНЗО-М</w:t>
      </w:r>
      <w:proofErr w:type="gramStart"/>
      <w:r>
        <w:rPr>
          <w:rFonts w:ascii="Arial" w:hAnsi="Arial" w:cs="Arial"/>
          <w:bCs/>
        </w:rPr>
        <w:t xml:space="preserve">»,);  </w:t>
      </w:r>
      <w:proofErr w:type="gramEnd"/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8,3 % - Государственное управление и обеспечение военной безопасности; Социальное обеспечение (МУ МВД РОССИИ «Люберецкое», ГКУ МО «МОСОБЛПОЖСПАС»); </w:t>
      </w:r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5,2 % - Транспортировка и хранение (Межрайонное автотранспортное предприятие № 1 «Автоколонна № 1787» филиал </w:t>
      </w:r>
      <w:r>
        <w:rPr>
          <w:rFonts w:ascii="Arial" w:hAnsi="Arial" w:cs="Arial"/>
          <w:bCs/>
        </w:rPr>
        <w:br/>
        <w:t>АО «МОСТРАНСАВТО» г. ЛЮБЕРЦЫ, УФПС МО ФГУП «Почта России», ООО «КПД-КАРГО», АО «ФМ ЛОЖИСТИК РУС</w:t>
      </w:r>
      <w:proofErr w:type="gramStart"/>
      <w:r>
        <w:rPr>
          <w:rFonts w:ascii="Arial" w:hAnsi="Arial" w:cs="Arial"/>
          <w:bCs/>
        </w:rPr>
        <w:t>»,);</w:t>
      </w:r>
      <w:proofErr w:type="gramEnd"/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4,4 % - Деятельность финансовая и страховая (Сбербанк России Люберецкое отделение N 7809, ПАО СК «РОСГОССТРАХ</w:t>
      </w:r>
      <w:proofErr w:type="gramStart"/>
      <w:r>
        <w:rPr>
          <w:rFonts w:ascii="Arial" w:hAnsi="Arial" w:cs="Arial"/>
          <w:bCs/>
        </w:rPr>
        <w:t xml:space="preserve">»,); </w:t>
      </w:r>
      <w:proofErr w:type="gramEnd"/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2,5 % - Деятельность по операциям с недвижимым имуществом </w:t>
      </w:r>
      <w:r>
        <w:rPr>
          <w:rFonts w:ascii="Arial" w:hAnsi="Arial" w:cs="Arial"/>
          <w:bCs/>
        </w:rPr>
        <w:br/>
        <w:t xml:space="preserve">(АО «ЛГЖТ», АО «ЛУК»); </w:t>
      </w:r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2,2 % - Строительство (АО «МСУ-1», ОАО «ЛСК-ТЕРМОСТЕПС», ООО «ИЦ ЭНЕРГОСТРОЙ», ООО «СВЯЗЬСТРОЙСЕРВИС-44»); </w:t>
      </w:r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1,6 % - Обеспечение электрической энергией, газом и паром; Кондиционирование воздуха (ООО «ЛЮБЭНЕРГОСНАБ», АО «Люберецкая теплосеть»); </w:t>
      </w:r>
    </w:p>
    <w:p w:rsidR="00B55D6F" w:rsidRDefault="00B55D6F" w:rsidP="00B55D6F">
      <w:pPr>
        <w:numPr>
          <w:ilvl w:val="0"/>
          <w:numId w:val="16"/>
        </w:numPr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1,1 % - деятельность гостиниц и предприятий общественного питания (ООО «МАКДОНАЛДС», ООО «Серый бык»).</w:t>
      </w:r>
      <w:r>
        <w:rPr>
          <w:rFonts w:ascii="Arial" w:hAnsi="Arial" w:cs="Arial"/>
          <w:bCs/>
        </w:rPr>
        <w:tab/>
      </w:r>
    </w:p>
    <w:p w:rsidR="00B55D6F" w:rsidRDefault="00B55D6F" w:rsidP="00B55D6F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Фонд заработной платы по крупным и средним организациям (включая организации с численностью до 15 человек) в 2018 году составил 34 738,1 млн. рублей, а в 2019 году оценивается в 36 127,2 млн. рублей (темп роста 105,1%). </w:t>
      </w:r>
    </w:p>
    <w:p w:rsidR="00B55D6F" w:rsidRDefault="00B55D6F" w:rsidP="00B55D6F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Среднемесячная заработная плата работников крупных и средних организаций городского округа (включая организации с численностью </w:t>
      </w:r>
      <w:r>
        <w:rPr>
          <w:rFonts w:ascii="Arial" w:hAnsi="Arial" w:cs="Arial"/>
          <w:bCs/>
        </w:rPr>
        <w:br/>
        <w:t>до 15 человек) в 2018 г. составила 62 137,1 рублей, что превышает ее среднее значение по Московской области. Организации городского округа Люберцы,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с высоким уровнем средней заработной платы: АО «МСУ-1» (строительство жилых и нежилых зданий); ООО «ОЕРЛИКОН МЕТКО РУС» (производство проволоки методом холодного волочения); ЗАО ТФД «БРОК-ИНВЕСТ-СЕРВИС И </w:t>
      </w:r>
      <w:proofErr w:type="gramStart"/>
      <w:r>
        <w:rPr>
          <w:rFonts w:ascii="Arial" w:hAnsi="Arial" w:cs="Arial"/>
          <w:bCs/>
        </w:rPr>
        <w:t>К</w:t>
      </w:r>
      <w:proofErr w:type="gramEnd"/>
      <w:r>
        <w:rPr>
          <w:rFonts w:ascii="Arial" w:hAnsi="Arial" w:cs="Arial"/>
          <w:bCs/>
        </w:rPr>
        <w:t>» (</w:t>
      </w:r>
      <w:proofErr w:type="gramStart"/>
      <w:r>
        <w:rPr>
          <w:rFonts w:ascii="Arial" w:hAnsi="Arial" w:cs="Arial"/>
          <w:bCs/>
        </w:rPr>
        <w:t>торговля</w:t>
      </w:r>
      <w:proofErr w:type="gramEnd"/>
      <w:r>
        <w:rPr>
          <w:rFonts w:ascii="Arial" w:hAnsi="Arial" w:cs="Arial"/>
          <w:bCs/>
        </w:rPr>
        <w:t xml:space="preserve"> оптовая неспециализированная); ООО «ИРВИН 2» (торговля оптовая фармацевтической продукцией); «Самолет </w:t>
      </w:r>
      <w:proofErr w:type="spellStart"/>
      <w:r>
        <w:rPr>
          <w:rFonts w:ascii="Arial" w:hAnsi="Arial" w:cs="Arial"/>
          <w:bCs/>
        </w:rPr>
        <w:t>Девелопмент</w:t>
      </w:r>
      <w:proofErr w:type="spellEnd"/>
      <w:r>
        <w:rPr>
          <w:rFonts w:ascii="Arial" w:hAnsi="Arial" w:cs="Arial"/>
          <w:bCs/>
        </w:rPr>
        <w:t xml:space="preserve">»  (консультирование по вопросам коммерческой деятельности и управления). </w:t>
      </w:r>
    </w:p>
    <w:p w:rsidR="00B55D6F" w:rsidRDefault="00B55D6F" w:rsidP="00B55D6F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Среднемесячная зарплата работников по </w:t>
      </w:r>
      <w:proofErr w:type="gramStart"/>
      <w:r>
        <w:rPr>
          <w:rFonts w:ascii="Arial" w:hAnsi="Arial" w:cs="Arial"/>
          <w:bCs/>
        </w:rPr>
        <w:t xml:space="preserve">организациям, не относящимся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к субъектам малого предпринимательства городского округа Люберцы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>за январь-июнь 2019 составила</w:t>
      </w:r>
      <w:proofErr w:type="gramEnd"/>
      <w:r>
        <w:rPr>
          <w:rFonts w:ascii="Arial" w:hAnsi="Arial" w:cs="Arial"/>
          <w:bCs/>
        </w:rPr>
        <w:t xml:space="preserve"> 63 842,9 рублей, темп роста – 106,3%.</w:t>
      </w:r>
    </w:p>
    <w:p w:rsidR="00B55D6F" w:rsidRDefault="00B55D6F" w:rsidP="00B55D6F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Среднесписочная численность работников (без внешних совместителей) по </w:t>
      </w:r>
      <w:proofErr w:type="gramStart"/>
      <w:r>
        <w:rPr>
          <w:rFonts w:ascii="Arial" w:hAnsi="Arial" w:cs="Arial"/>
          <w:bCs/>
        </w:rPr>
        <w:t>организациям, не относящимся к субъектам малого предпринимательства городского округа Люберцы за январь-июнь 2019 составила</w:t>
      </w:r>
      <w:proofErr w:type="gramEnd"/>
      <w:r>
        <w:rPr>
          <w:rFonts w:ascii="Arial" w:hAnsi="Arial" w:cs="Arial"/>
          <w:bCs/>
        </w:rPr>
        <w:t xml:space="preserve"> 45 298 человек, темп роста - 102,1 %.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Снижение темпов роста фонда заработанной платы малых предприятий </w:t>
      </w:r>
      <w:r>
        <w:rPr>
          <w:rFonts w:ascii="Arial" w:hAnsi="Arial" w:cs="Arial"/>
        </w:rPr>
        <w:br/>
      </w:r>
      <w:r>
        <w:rPr>
          <w:rFonts w:ascii="Arial" w:hAnsi="Arial" w:cs="Arial"/>
          <w:color w:val="000000"/>
        </w:rPr>
        <w:t xml:space="preserve">в 2018 г.- 87.2% к 2017 г. связано с уточнением и пересчетом среднесписочной численности работников малых предприятий (включая </w:t>
      </w:r>
      <w:proofErr w:type="spellStart"/>
      <w:r>
        <w:rPr>
          <w:rFonts w:ascii="Arial" w:hAnsi="Arial" w:cs="Arial"/>
          <w:color w:val="000000"/>
        </w:rPr>
        <w:t>микропредприятия</w:t>
      </w:r>
      <w:proofErr w:type="spellEnd"/>
      <w:r>
        <w:rPr>
          <w:rFonts w:ascii="Arial" w:hAnsi="Arial" w:cs="Arial"/>
          <w:color w:val="000000"/>
        </w:rPr>
        <w:t xml:space="preserve">), </w:t>
      </w:r>
      <w:r>
        <w:rPr>
          <w:rFonts w:ascii="Arial" w:hAnsi="Arial" w:cs="Arial"/>
          <w:color w:val="000000"/>
        </w:rPr>
        <w:br/>
        <w:t xml:space="preserve">на которых формировался ФЗП. В 2019 было ликвидировано 1 663 субъекта малого предпринимательства. В отдельных организациях проводилось сокращение численности или штата,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 xml:space="preserve">. в связи с реконструкцией </w:t>
      </w:r>
      <w:r>
        <w:rPr>
          <w:rFonts w:ascii="Arial" w:hAnsi="Arial" w:cs="Arial"/>
          <w:color w:val="000000"/>
        </w:rPr>
        <w:br/>
        <w:t xml:space="preserve">и реорганизацией предприятий: ООО «Завод полимерных труб» - 70 чел., </w:t>
      </w:r>
      <w:r>
        <w:rPr>
          <w:rFonts w:ascii="Arial" w:hAnsi="Arial" w:cs="Arial"/>
          <w:color w:val="000000"/>
        </w:rPr>
        <w:br/>
        <w:t>в среднем от 10 до 20 чел. в ООО «</w:t>
      </w:r>
      <w:proofErr w:type="spellStart"/>
      <w:r>
        <w:rPr>
          <w:rFonts w:ascii="Arial" w:hAnsi="Arial" w:cs="Arial"/>
          <w:color w:val="000000"/>
        </w:rPr>
        <w:t>Электростроймонтаж</w:t>
      </w:r>
      <w:proofErr w:type="spellEnd"/>
      <w:r>
        <w:rPr>
          <w:rFonts w:ascii="Arial" w:hAnsi="Arial" w:cs="Arial"/>
          <w:color w:val="000000"/>
        </w:rPr>
        <w:t>», ООО «</w:t>
      </w:r>
      <w:proofErr w:type="spellStart"/>
      <w:r>
        <w:rPr>
          <w:rFonts w:ascii="Arial" w:hAnsi="Arial" w:cs="Arial"/>
          <w:color w:val="000000"/>
        </w:rPr>
        <w:t>Стим</w:t>
      </w:r>
      <w:proofErr w:type="spellEnd"/>
      <w:r>
        <w:rPr>
          <w:rFonts w:ascii="Arial" w:hAnsi="Arial" w:cs="Arial"/>
          <w:color w:val="000000"/>
        </w:rPr>
        <w:t xml:space="preserve"> вест», ООО «</w:t>
      </w:r>
      <w:proofErr w:type="spellStart"/>
      <w:r>
        <w:rPr>
          <w:rFonts w:ascii="Arial" w:hAnsi="Arial" w:cs="Arial"/>
          <w:color w:val="000000"/>
        </w:rPr>
        <w:t>Глобал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трэйд</w:t>
      </w:r>
      <w:proofErr w:type="spellEnd"/>
      <w:r>
        <w:rPr>
          <w:rFonts w:ascii="Arial" w:hAnsi="Arial" w:cs="Arial"/>
          <w:color w:val="000000"/>
        </w:rPr>
        <w:t>», ООО «</w:t>
      </w:r>
      <w:proofErr w:type="spellStart"/>
      <w:r>
        <w:rPr>
          <w:rFonts w:ascii="Arial" w:hAnsi="Arial" w:cs="Arial"/>
          <w:color w:val="000000"/>
        </w:rPr>
        <w:t>Лесопторг</w:t>
      </w:r>
      <w:proofErr w:type="spellEnd"/>
      <w:r>
        <w:rPr>
          <w:rFonts w:ascii="Arial" w:hAnsi="Arial" w:cs="Arial"/>
          <w:color w:val="000000"/>
        </w:rPr>
        <w:t>», ООО «Компас», ООО «</w:t>
      </w:r>
      <w:proofErr w:type="spellStart"/>
      <w:r>
        <w:rPr>
          <w:rFonts w:ascii="Arial" w:hAnsi="Arial" w:cs="Arial"/>
          <w:color w:val="000000"/>
        </w:rPr>
        <w:t>Юнитрейд</w:t>
      </w:r>
      <w:proofErr w:type="spellEnd"/>
      <w:r>
        <w:rPr>
          <w:rFonts w:ascii="Arial" w:hAnsi="Arial" w:cs="Arial"/>
          <w:color w:val="000000"/>
        </w:rPr>
        <w:t xml:space="preserve">», ООО «Ресурс </w:t>
      </w:r>
      <w:proofErr w:type="gramStart"/>
      <w:r>
        <w:rPr>
          <w:rFonts w:ascii="Arial" w:hAnsi="Arial" w:cs="Arial"/>
          <w:color w:val="000000"/>
        </w:rPr>
        <w:t>МСК</w:t>
      </w:r>
      <w:proofErr w:type="gramEnd"/>
      <w:r>
        <w:rPr>
          <w:rFonts w:ascii="Arial" w:hAnsi="Arial" w:cs="Arial"/>
          <w:color w:val="000000"/>
        </w:rPr>
        <w:t>», ООО «МК-Персонал», ООО Аваль», ООО «</w:t>
      </w:r>
      <w:proofErr w:type="spellStart"/>
      <w:r>
        <w:rPr>
          <w:rFonts w:ascii="Arial" w:hAnsi="Arial" w:cs="Arial"/>
          <w:color w:val="000000"/>
        </w:rPr>
        <w:t>Резервснаб</w:t>
      </w:r>
      <w:proofErr w:type="spellEnd"/>
      <w:r>
        <w:rPr>
          <w:rFonts w:ascii="Arial" w:hAnsi="Arial" w:cs="Arial"/>
          <w:color w:val="000000"/>
        </w:rPr>
        <w:t>», ООО «</w:t>
      </w:r>
      <w:proofErr w:type="spellStart"/>
      <w:r>
        <w:rPr>
          <w:rFonts w:ascii="Arial" w:hAnsi="Arial" w:cs="Arial"/>
          <w:color w:val="000000"/>
        </w:rPr>
        <w:t>Витаминка</w:t>
      </w:r>
      <w:proofErr w:type="spellEnd"/>
      <w:r>
        <w:rPr>
          <w:rFonts w:ascii="Arial" w:hAnsi="Arial" w:cs="Arial"/>
          <w:color w:val="000000"/>
        </w:rPr>
        <w:t>», ООО «ИЛИДИС», ООО «ПРЭНС ТУР, ООО «Строй 5М», ООО «Морская лига», ООО «Радуга», ООО «Геракл», ООО «</w:t>
      </w:r>
      <w:proofErr w:type="spellStart"/>
      <w:r>
        <w:rPr>
          <w:rFonts w:ascii="Arial" w:hAnsi="Arial" w:cs="Arial"/>
          <w:color w:val="000000"/>
        </w:rPr>
        <w:t>Автотрейдинг</w:t>
      </w:r>
      <w:proofErr w:type="spellEnd"/>
      <w:r>
        <w:rPr>
          <w:rFonts w:ascii="Arial" w:hAnsi="Arial" w:cs="Arial"/>
          <w:color w:val="000000"/>
        </w:rPr>
        <w:t>», ООО «</w:t>
      </w:r>
      <w:proofErr w:type="spellStart"/>
      <w:r>
        <w:rPr>
          <w:rFonts w:ascii="Arial" w:hAnsi="Arial" w:cs="Arial"/>
          <w:color w:val="000000"/>
        </w:rPr>
        <w:t>Миларго</w:t>
      </w:r>
      <w:proofErr w:type="spellEnd"/>
      <w:r>
        <w:rPr>
          <w:rFonts w:ascii="Arial" w:hAnsi="Arial" w:cs="Arial"/>
          <w:color w:val="000000"/>
        </w:rPr>
        <w:t>», ООО «</w:t>
      </w:r>
      <w:proofErr w:type="spellStart"/>
      <w:r>
        <w:rPr>
          <w:rFonts w:ascii="Arial" w:hAnsi="Arial" w:cs="Arial"/>
          <w:color w:val="000000"/>
        </w:rPr>
        <w:t>Марем</w:t>
      </w:r>
      <w:proofErr w:type="spellEnd"/>
      <w:r>
        <w:rPr>
          <w:rFonts w:ascii="Arial" w:hAnsi="Arial" w:cs="Arial"/>
          <w:color w:val="000000"/>
        </w:rPr>
        <w:t xml:space="preserve">» и др. Среднесписочная численность работников (без внешних совместителей) малых и </w:t>
      </w:r>
      <w:proofErr w:type="spellStart"/>
      <w:r>
        <w:rPr>
          <w:rFonts w:ascii="Arial" w:hAnsi="Arial" w:cs="Arial"/>
          <w:color w:val="000000"/>
        </w:rPr>
        <w:t>микропредприятий</w:t>
      </w:r>
      <w:proofErr w:type="spellEnd"/>
      <w:r>
        <w:rPr>
          <w:rFonts w:ascii="Arial" w:hAnsi="Arial" w:cs="Arial"/>
          <w:color w:val="000000"/>
        </w:rPr>
        <w:t xml:space="preserve"> уменьшилась более чем на 4 тыс. человек, что повлияло на фонд заработанной платы и темп его роста.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 оценке темп роста фонда заработанной платы малых предприятий </w:t>
      </w:r>
      <w:r>
        <w:rPr>
          <w:rFonts w:ascii="Arial" w:hAnsi="Arial" w:cs="Arial"/>
        </w:rPr>
        <w:br/>
      </w:r>
      <w:r>
        <w:rPr>
          <w:rFonts w:ascii="Arial" w:hAnsi="Arial" w:cs="Arial"/>
          <w:color w:val="000000"/>
        </w:rPr>
        <w:t xml:space="preserve">в 2019 г. составит 105,8 % к предыдущему году. </w:t>
      </w:r>
      <w:proofErr w:type="gramStart"/>
      <w:r>
        <w:rPr>
          <w:rFonts w:ascii="Arial" w:hAnsi="Arial" w:cs="Arial"/>
          <w:color w:val="000000"/>
        </w:rPr>
        <w:t xml:space="preserve">На динамику в основном будет оказывать влияние рост среднесписочной численности работников в связи </w:t>
      </w:r>
      <w:r>
        <w:rPr>
          <w:rFonts w:ascii="Arial" w:hAnsi="Arial" w:cs="Arial"/>
          <w:color w:val="000000"/>
        </w:rPr>
        <w:br/>
        <w:t xml:space="preserve">с созданием более 1,2 тыс. новых рабочих мест в сфере малого предпринимательства, сокращением числа увольнений работников </w:t>
      </w:r>
      <w:proofErr w:type="spellStart"/>
      <w:r>
        <w:rPr>
          <w:rFonts w:ascii="Arial" w:hAnsi="Arial" w:cs="Arial"/>
          <w:color w:val="000000"/>
        </w:rPr>
        <w:t>предпенсионного</w:t>
      </w:r>
      <w:proofErr w:type="spellEnd"/>
      <w:r>
        <w:rPr>
          <w:rFonts w:ascii="Arial" w:hAnsi="Arial" w:cs="Arial"/>
          <w:color w:val="000000"/>
        </w:rPr>
        <w:t xml:space="preserve"> возраста (с 01.01.2019 введена уголовная ответственность) </w:t>
      </w:r>
      <w:r>
        <w:rPr>
          <w:rFonts w:ascii="Arial" w:hAnsi="Arial" w:cs="Arial"/>
        </w:rPr>
        <w:br/>
      </w:r>
      <w:r>
        <w:rPr>
          <w:rFonts w:ascii="Arial" w:hAnsi="Arial" w:cs="Arial"/>
          <w:color w:val="000000"/>
        </w:rPr>
        <w:t>и др.  Среднемесячная заработная плата незначительно увеличится, при этом темп роста сохранится прежним - 100,0 % к 2018 г. Темп роста фонда заработанной платы малых предприятий</w:t>
      </w:r>
      <w:proofErr w:type="gramEnd"/>
      <w:r>
        <w:rPr>
          <w:rFonts w:ascii="Arial" w:hAnsi="Arial" w:cs="Arial"/>
          <w:color w:val="000000"/>
        </w:rPr>
        <w:t xml:space="preserve"> в прогнозном периоде в основном будет зависеть от темпа роста среднесписочной численности работников. Темп роста среднемесячной заработной платы работников малых предприятий (включая </w:t>
      </w:r>
      <w:proofErr w:type="spellStart"/>
      <w:r>
        <w:rPr>
          <w:rFonts w:ascii="Arial" w:hAnsi="Arial" w:cs="Arial"/>
          <w:color w:val="000000"/>
        </w:rPr>
        <w:t>микропредприятия</w:t>
      </w:r>
      <w:proofErr w:type="spellEnd"/>
      <w:r>
        <w:rPr>
          <w:rFonts w:ascii="Arial" w:hAnsi="Arial" w:cs="Arial"/>
          <w:color w:val="000000"/>
        </w:rPr>
        <w:t xml:space="preserve">) незначительно изменится и составит 100,1% </w:t>
      </w:r>
      <w:r>
        <w:rPr>
          <w:rFonts w:ascii="Arial" w:hAnsi="Arial" w:cs="Arial"/>
        </w:rPr>
        <w:br/>
      </w:r>
      <w:r>
        <w:rPr>
          <w:rFonts w:ascii="Arial" w:hAnsi="Arial" w:cs="Arial"/>
          <w:color w:val="000000"/>
        </w:rPr>
        <w:t xml:space="preserve">к соответствующему периоду 2019 г.; в 2021 г. - 106,9% к соответствующему периоду 2020 г. Среднемесячная заработная плата в 2021 г. достигнет </w:t>
      </w:r>
      <w:r>
        <w:rPr>
          <w:rFonts w:ascii="Arial" w:hAnsi="Arial" w:cs="Arial"/>
          <w:color w:val="000000"/>
        </w:rPr>
        <w:br/>
        <w:t>33,6 тыс. рублей (100,1% к 2020 году).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Потребительский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рынок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Потребительский рынок является крупной составной частью экономики городского округа Люберцы. Его главные задачи - создание условий </w:t>
      </w:r>
      <w:r>
        <w:rPr>
          <w:rFonts w:ascii="Arial" w:hAnsi="Arial" w:cs="Arial"/>
          <w:color w:val="000000"/>
        </w:rPr>
        <w:br/>
        <w:t xml:space="preserve">для удовлетворения спроса населения на потребительские товары и услуги, обеспечение </w:t>
      </w:r>
      <w:r>
        <w:rPr>
          <w:rFonts w:ascii="Arial" w:hAnsi="Arial" w:cs="Arial"/>
          <w:color w:val="000000"/>
        </w:rPr>
        <w:lastRenderedPageBreak/>
        <w:t xml:space="preserve">качества и безопасности их предоставления, территориальную доступность товаров и услуг по всей территории округа.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Быстрому развитию потребительского рынка за последние годы способствовали стабильное экономическое положение в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Потребительский рынок находится в непосредственной зависимости от денежных доходов </w:t>
      </w:r>
      <w:r>
        <w:rPr>
          <w:rFonts w:ascii="Arial" w:hAnsi="Arial" w:cs="Arial"/>
          <w:color w:val="000000"/>
        </w:rPr>
        <w:br/>
        <w:t xml:space="preserve">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Темпы роста оборота розничной торговли в городском округе Люберцы стабильно высокие. </w:t>
      </w:r>
      <w:proofErr w:type="gramStart"/>
      <w:r>
        <w:rPr>
          <w:rFonts w:ascii="Arial" w:hAnsi="Arial" w:cs="Arial"/>
          <w:color w:val="000000"/>
        </w:rPr>
        <w:t xml:space="preserve">Оборот розничной торговли в 2018 году составил </w:t>
      </w:r>
      <w:r>
        <w:rPr>
          <w:rFonts w:ascii="Arial" w:hAnsi="Arial" w:cs="Arial"/>
          <w:color w:val="000000"/>
        </w:rPr>
        <w:br/>
        <w:t>70 798,4 млн. рублей, значение индекса физического объема на 2018 год составляет 131,6 %. С учетом развития потребительского рынка оборот розничной торговли в 2019 году оценивается в 79 379,2 млн. рублей, значение индекса физического объема 104,2%. К 2022 году прогнозируется увеличение оборота розничной торговли до 90 542,3 млн. рублей, значение индекса физического объема в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приделах 100,2-100,7 %. Объем оборота розничной торговли зависит от ввода крупных торговых центров на территории городского округа, в том числе расположенных вдоль крупных автомобильных трасс, изменение демографической ситуации (прироста численности постоянного и временного населения), от уровня платежеспособности населения.</w:t>
      </w:r>
      <w:proofErr w:type="gramEnd"/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Обеспеченность торговыми площадями по итогам 2018 года в округе составляет 1071 кв. м на 1000 жителей, что значительно превышает норматив минимальной обеспеченности населения торговыми площадями. Введено </w:t>
      </w:r>
      <w:r>
        <w:rPr>
          <w:rFonts w:ascii="Arial" w:hAnsi="Arial" w:cs="Arial"/>
          <w:color w:val="000000"/>
        </w:rPr>
        <w:br/>
        <w:t>в строй 9 тыс. кв. метров торговых площадей. В текущем году планируется ввести в строй более 5,2 тыс. кв. метров торговых площадей.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2018 году было открыто </w:t>
      </w:r>
      <w:r>
        <w:rPr>
          <w:rFonts w:ascii="Arial" w:hAnsi="Arial" w:cs="Arial"/>
        </w:rPr>
        <w:t xml:space="preserve">36 новых предприятия бытового обслуживания, 13 объектов общественного питания, 38 магазинов, </w:t>
      </w:r>
      <w:r>
        <w:rPr>
          <w:rFonts w:ascii="Arial" w:hAnsi="Arial" w:cs="Arial"/>
          <w:color w:val="000000"/>
        </w:rPr>
        <w:t>проведено 270 ярмарок. Строительство и открытие крупных торговых объектов оказывает влияние на высокие темпы роста объемов оборота розничной торговли, а также высоких показателей обеспеченности торговыми площадями в городском округе.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связи с отсутствием на территории городского округа свободных земельных участков необходимой площади для открытия новых объектов оптовой торговли, в прогнозном периоде запланирован небольшой прирост площадей в сфере оптовой торговли за счет освобождающихся производственных площадей (незадействованных производственных цехов либо неиспользуемых складов) на действующих организациях. Предполагается, что данные площади либо будут сданы в аренду организациям оптовой торговли, либо будут использованы собственниками для аналогичных целей.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B55D6F" w:rsidRDefault="00B55D6F" w:rsidP="00B55D6F">
      <w:pPr>
        <w:numPr>
          <w:ilvl w:val="0"/>
          <w:numId w:val="18"/>
        </w:numPr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повышение уровня потребительских запросов и требований </w:t>
      </w:r>
      <w:r>
        <w:rPr>
          <w:rFonts w:ascii="Arial" w:hAnsi="Arial" w:cs="Arial"/>
          <w:color w:val="000000"/>
        </w:rPr>
        <w:br/>
        <w:t>к обслуживанию и качеству товаров;</w:t>
      </w:r>
    </w:p>
    <w:p w:rsidR="00B55D6F" w:rsidRDefault="00B55D6F" w:rsidP="00B55D6F">
      <w:pPr>
        <w:numPr>
          <w:ilvl w:val="0"/>
          <w:numId w:val="18"/>
        </w:numPr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доминирование сетевой торговли в общем объеме потребительского рынка, ведущее к  снижению прибыльности мелких предприятий  в отрасли;</w:t>
      </w:r>
    </w:p>
    <w:p w:rsidR="00B55D6F" w:rsidRDefault="00B55D6F" w:rsidP="00B55D6F">
      <w:pPr>
        <w:numPr>
          <w:ilvl w:val="0"/>
          <w:numId w:val="18"/>
        </w:numPr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доли организованной торговли в общем обороте розничной торговли.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Основными недостатками в развитии инфраструктуры потребительского рынка является нерациональность размещения объектов, развитие </w:t>
      </w:r>
      <w:r>
        <w:rPr>
          <w:rFonts w:ascii="Arial" w:hAnsi="Arial" w:cs="Arial"/>
          <w:color w:val="000000"/>
        </w:rPr>
        <w:br/>
        <w:t>и строительство объектов без учета потребности в них населения.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Существенными проблемами для сферы бытового обслуживания является слабая материально-техническая база: отсутствие современного оборудования и новых технологий, значительные затраты, связанные с ростом цен </w:t>
      </w:r>
      <w:r>
        <w:rPr>
          <w:rFonts w:ascii="Arial" w:hAnsi="Arial" w:cs="Arial"/>
          <w:color w:val="000000"/>
        </w:rPr>
        <w:br/>
        <w:t>на материалы, оборудование, увеличение платы за аренду помещений, коммунальные услуги; недостаточная инвестиционная и инновационная активность субъектов сферы бытового обслуживания.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Образование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В систему образования городского округа Люберцы входят: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46 </w:t>
      </w:r>
      <w:proofErr w:type="gramStart"/>
      <w:r>
        <w:rPr>
          <w:rFonts w:ascii="Arial" w:hAnsi="Arial" w:cs="Arial"/>
          <w:color w:val="000000"/>
        </w:rPr>
        <w:t>муниципальных</w:t>
      </w:r>
      <w:proofErr w:type="gramEnd"/>
      <w:r>
        <w:rPr>
          <w:rFonts w:ascii="Arial" w:hAnsi="Arial" w:cs="Arial"/>
          <w:color w:val="000000"/>
        </w:rPr>
        <w:t xml:space="preserve"> дошкольных образовательных учреждения, 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42 </w:t>
      </w:r>
      <w:proofErr w:type="gramStart"/>
      <w:r>
        <w:rPr>
          <w:rFonts w:ascii="Arial" w:hAnsi="Arial" w:cs="Arial"/>
          <w:color w:val="000000"/>
        </w:rPr>
        <w:t>муниципальных</w:t>
      </w:r>
      <w:proofErr w:type="gramEnd"/>
      <w:r>
        <w:rPr>
          <w:rFonts w:ascii="Arial" w:hAnsi="Arial" w:cs="Arial"/>
          <w:color w:val="000000"/>
        </w:rPr>
        <w:t xml:space="preserve"> общеобразовательных учреждения, 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учреждение социальной поддержки детей с проблемами в развитии, 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Центр социально-трудовой адаптации и профориентации, 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Центр развития образования, 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 учреждения профобразования, 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 ВУЗа, 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 муниципальных учреждений дополнительного образования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bookmarkStart w:id="23" w:name="OLE_LINK190"/>
      <w:bookmarkStart w:id="24" w:name="OLE_LINK189"/>
      <w:r>
        <w:rPr>
          <w:rFonts w:ascii="Arial" w:hAnsi="Arial" w:cs="Arial"/>
          <w:color w:val="000000"/>
        </w:rPr>
        <w:t xml:space="preserve">Во всех детских садах городского округа установлен 12-ти часовой режим пребывания воспитанников. Очередь в детские сады для детей </w:t>
      </w:r>
      <w:r>
        <w:rPr>
          <w:rFonts w:ascii="Arial" w:hAnsi="Arial" w:cs="Arial"/>
          <w:color w:val="000000"/>
        </w:rPr>
        <w:br/>
        <w:t>от 3 до 7 лет отсутствует. Образовательные программы детских садов реализуются в соответствии с Федеральным государственным образовательным стандартом дошкольного образования и охватывают более 17 тысяч воспитанников.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2018 году </w:t>
      </w:r>
      <w:proofErr w:type="gramStart"/>
      <w:r>
        <w:rPr>
          <w:rFonts w:ascii="Arial" w:hAnsi="Arial" w:cs="Arial"/>
          <w:color w:val="000000"/>
        </w:rPr>
        <w:t>введены</w:t>
      </w:r>
      <w:proofErr w:type="gramEnd"/>
      <w:r>
        <w:rPr>
          <w:rFonts w:ascii="Arial" w:hAnsi="Arial" w:cs="Arial"/>
          <w:color w:val="000000"/>
        </w:rPr>
        <w:t xml:space="preserve"> в эксплуатацию:</w:t>
      </w:r>
    </w:p>
    <w:p w:rsidR="00B55D6F" w:rsidRDefault="00B55D6F" w:rsidP="00B55D6F">
      <w:pPr>
        <w:numPr>
          <w:ilvl w:val="0"/>
          <w:numId w:val="22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детский сад на 180 мест на ул. Кирова, 35ж;</w:t>
      </w:r>
    </w:p>
    <w:p w:rsidR="00B55D6F" w:rsidRDefault="00B55D6F" w:rsidP="00B55D6F">
      <w:pPr>
        <w:numPr>
          <w:ilvl w:val="0"/>
          <w:numId w:val="22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детский сад на 180 мест на пос. Калинина;</w:t>
      </w:r>
    </w:p>
    <w:p w:rsidR="00B55D6F" w:rsidRDefault="00B55D6F" w:rsidP="00B55D6F">
      <w:pPr>
        <w:numPr>
          <w:ilvl w:val="0"/>
          <w:numId w:val="22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детский сад на 200 мест  на ул. </w:t>
      </w:r>
      <w:proofErr w:type="spellStart"/>
      <w:r>
        <w:rPr>
          <w:rFonts w:ascii="Arial" w:hAnsi="Arial" w:cs="Arial"/>
          <w:color w:val="000000"/>
        </w:rPr>
        <w:t>Шевлякова</w:t>
      </w:r>
      <w:proofErr w:type="spellEnd"/>
      <w:r>
        <w:rPr>
          <w:rFonts w:ascii="Arial" w:hAnsi="Arial" w:cs="Arial"/>
          <w:color w:val="000000"/>
        </w:rPr>
        <w:t>;</w:t>
      </w:r>
    </w:p>
    <w:p w:rsidR="00B55D6F" w:rsidRDefault="00B55D6F" w:rsidP="00B55D6F">
      <w:pPr>
        <w:numPr>
          <w:ilvl w:val="0"/>
          <w:numId w:val="22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детский сад на Сиреневом бульваре.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2019 году открыты для обучения детский сад на 280 мест </w:t>
      </w:r>
      <w:r>
        <w:rPr>
          <w:rFonts w:ascii="Arial" w:hAnsi="Arial" w:cs="Arial"/>
          <w:color w:val="000000"/>
        </w:rPr>
        <w:br/>
        <w:t xml:space="preserve">в микрорайоне «Самолет», детский сад на 120 мест в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>; так же до конца 2019 года откроются детский сад на 360 мест в ЖК «Самолет-</w:t>
      </w:r>
      <w:proofErr w:type="spellStart"/>
      <w:r>
        <w:rPr>
          <w:rFonts w:ascii="Arial" w:hAnsi="Arial" w:cs="Arial"/>
          <w:color w:val="000000"/>
        </w:rPr>
        <w:t>Томилино</w:t>
      </w:r>
      <w:proofErr w:type="spellEnd"/>
      <w:r>
        <w:rPr>
          <w:rFonts w:ascii="Arial" w:hAnsi="Arial" w:cs="Arial"/>
          <w:color w:val="000000"/>
        </w:rPr>
        <w:t xml:space="preserve">».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2018 году в школах городского округа учились 32 242 ребенка, из них 4 067 первоклассников, на 2019 год количество школьников увеличится </w:t>
      </w:r>
      <w:r>
        <w:rPr>
          <w:rFonts w:ascii="Arial" w:hAnsi="Arial" w:cs="Arial"/>
          <w:color w:val="000000"/>
        </w:rPr>
        <w:br/>
        <w:t>до 35 000 человек. С 1 сентября 2018 года школьники всех 1-ых – 9-ых классов обучаются по новым стандартам. В опережающем режиме ФГОС среднего общего образования осваивают ученики 10-х классов гимназии № 20. В целом по городскому округу общий охват обучающихся по ФГОС – 29 520 учеников (91,5 %).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 сентября 2019 году открылся новый Инженерно-технологический лицей на 1100 мест.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2019 году 27 школ, 25 детских садов и 2 учреждения дополнительного образования были отремонтированы к началу нового учебного года. В рамках работ произведен ремонт кровель, фасадов, пищеблоков, заменены окон, отремонтированы внутренние помещения, благоустроены территории образовательных учреждений. Для трёх учреждений закуплено специализированное оборудование для детей с ограниченными возможностями. </w:t>
      </w:r>
    </w:p>
    <w:p w:rsidR="00B55D6F" w:rsidRDefault="00B55D6F" w:rsidP="00B55D6F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2018 году 1 290 выпускников 11 –х классов успешно сдали единые государственные экзамены.  Из них: 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177 награждены медалями «За особые успехи в учении»;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250 набрали более 220 баллов по результатам 3-х ЕГЭ;</w:t>
      </w:r>
    </w:p>
    <w:p w:rsidR="00B55D6F" w:rsidRDefault="00B55D6F" w:rsidP="00B55D6F">
      <w:pPr>
        <w:numPr>
          <w:ilvl w:val="0"/>
          <w:numId w:val="20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 ребят набрали максимальные 100 баллов ЕГЭ;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2019 году 1291 выпускник 11 –х классов успешно сдал единые государственные экзамены, из них:</w:t>
      </w:r>
    </w:p>
    <w:p w:rsidR="00B55D6F" w:rsidRDefault="00B55D6F" w:rsidP="00B55D6F">
      <w:pPr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144 награждены медалями «За особые успехи в учении»;</w:t>
      </w:r>
      <w:proofErr w:type="gramEnd"/>
    </w:p>
    <w:p w:rsidR="00B55D6F" w:rsidRDefault="00B55D6F" w:rsidP="00B55D6F">
      <w:pPr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 выпускников получили 100 баллов ЕГЭ;</w:t>
      </w:r>
    </w:p>
    <w:p w:rsidR="00B55D6F" w:rsidRDefault="00B55D6F" w:rsidP="00B55D6F">
      <w:pPr>
        <w:numPr>
          <w:ilvl w:val="0"/>
          <w:numId w:val="24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282 набрали более 220 баллов по результатам 3-х ЕГЭ;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 базе 39 образовательных организаций функционировали школьные лагеря с дневным пребыванием детей, в которых отдохнули 3 410 детей </w:t>
      </w:r>
      <w:r>
        <w:rPr>
          <w:rFonts w:ascii="Arial" w:hAnsi="Arial" w:cs="Arial"/>
        </w:rPr>
        <w:br/>
      </w:r>
      <w:r>
        <w:rPr>
          <w:rFonts w:ascii="Arial" w:hAnsi="Arial" w:cs="Arial"/>
          <w:color w:val="000000"/>
        </w:rPr>
        <w:t xml:space="preserve">в возрасте от 7 до 15 лет. </w:t>
      </w:r>
      <w:bookmarkEnd w:id="23"/>
      <w:bookmarkEnd w:id="24"/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t>Приоритетным является внедрение дополнительных общеобразовательных программ технической и естественнонаучной направленностей.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 xml:space="preserve">Для занятий робототехникой созданы 22 </w:t>
      </w:r>
      <w:proofErr w:type="gramStart"/>
      <w:r>
        <w:rPr>
          <w:rFonts w:ascii="Arial" w:hAnsi="Arial" w:cs="Arial"/>
        </w:rPr>
        <w:t>площадки</w:t>
      </w:r>
      <w:proofErr w:type="gramEnd"/>
      <w:r>
        <w:rPr>
          <w:rFonts w:ascii="Arial" w:hAnsi="Arial" w:cs="Arial"/>
        </w:rPr>
        <w:t xml:space="preserve"> в которых занимаются 2 630 детей.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Центре инновационного технического творчества молодежи «ТЕХНОШКОЛА», на базе МОУ лицея № 42 открыт и успешно работает первый школьный Технопарк в </w:t>
      </w:r>
      <w:r>
        <w:rPr>
          <w:rFonts w:ascii="Arial" w:hAnsi="Arial" w:cs="Arial"/>
          <w:color w:val="000000"/>
        </w:rPr>
        <w:lastRenderedPageBreak/>
        <w:t xml:space="preserve">городском округе Люберцы. Центр «ТЕХНОШКОЛА» за 2017 - 2018 учебный год успешно провел 4 смены детского лагеря ТЕХНОКАМПУС, в которых отдыхали более 200 детей. </w:t>
      </w:r>
      <w:r>
        <w:rPr>
          <w:rFonts w:ascii="Arial" w:hAnsi="Arial" w:cs="Arial"/>
          <w:color w:val="000000"/>
        </w:rPr>
        <w:br/>
        <w:t xml:space="preserve">В лагере дети занимались </w:t>
      </w:r>
      <w:proofErr w:type="spellStart"/>
      <w:r>
        <w:rPr>
          <w:rFonts w:ascii="Arial" w:hAnsi="Arial" w:cs="Arial"/>
          <w:color w:val="000000"/>
        </w:rPr>
        <w:t>роботехникой</w:t>
      </w:r>
      <w:proofErr w:type="spellEnd"/>
      <w:r>
        <w:rPr>
          <w:rFonts w:ascii="Arial" w:hAnsi="Arial" w:cs="Arial"/>
          <w:color w:val="000000"/>
        </w:rPr>
        <w:t xml:space="preserve">, 3D моделированием </w:t>
      </w:r>
      <w:r>
        <w:rPr>
          <w:rFonts w:ascii="Arial" w:hAnsi="Arial" w:cs="Arial"/>
          <w:color w:val="000000"/>
        </w:rPr>
        <w:br/>
        <w:t xml:space="preserve">и </w:t>
      </w:r>
      <w:proofErr w:type="spellStart"/>
      <w:r>
        <w:rPr>
          <w:rFonts w:ascii="Arial" w:hAnsi="Arial" w:cs="Arial"/>
          <w:color w:val="000000"/>
        </w:rPr>
        <w:t>прототипированием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нанотехнологиями</w:t>
      </w:r>
      <w:proofErr w:type="spellEnd"/>
      <w:r>
        <w:rPr>
          <w:rFonts w:ascii="Arial" w:hAnsi="Arial" w:cs="Arial"/>
          <w:color w:val="000000"/>
        </w:rPr>
        <w:t>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Наличие победителей или призеров регионального или заключительного этапа Всероссийской олимпиады школьников среди обучающихся - один </w:t>
      </w:r>
      <w:r>
        <w:rPr>
          <w:rFonts w:ascii="Arial" w:hAnsi="Arial" w:cs="Arial"/>
          <w:color w:val="000000"/>
        </w:rPr>
        <w:br/>
        <w:t>из показателей, влияющий на рейтинг общеобразовательной организации.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  <w:t xml:space="preserve">В последние годы участие в олимпиадах становится все более популярным среди школьников и образовательные организации все больше внимания уделяют подготовке своих учеников к интеллектуальным состязаниям. Наличие призеров и победителей школьных олимпиад среди учеников школы – один </w:t>
      </w:r>
      <w:r>
        <w:rPr>
          <w:rFonts w:ascii="Arial" w:hAnsi="Arial" w:cs="Arial"/>
          <w:color w:val="000000"/>
        </w:rPr>
        <w:br/>
        <w:t xml:space="preserve">из показателей ее работы и муниципалитета в целом. Подготовку </w:t>
      </w:r>
      <w:r>
        <w:rPr>
          <w:rFonts w:ascii="Arial" w:hAnsi="Arial" w:cs="Arial"/>
          <w:color w:val="000000"/>
        </w:rPr>
        <w:br/>
        <w:t xml:space="preserve">к Всероссийской олимпиаде школьников по русскому языку, литературе, физике, географии, истории, технологии и физической культуре и т.д. проводят преподаватели ведущих ВУЗов (МГУ, МФТИ, МГОУ) и лучшие педагоги округа. В 2017-2018 учебном году на базе МУ «Центр развития образования» прошли подготовку к Всероссийской олимпиаде школьников 180 ребят.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муниципальном этапе Всероссийской олимпиады школьников приняли участие 2 133 школьника, из них победителями стали 77 человек, призерами – 296, 51 победитель и призёр регионального этапа олимпиады и 3 призёра заключительного этапа Всероссийской олимпиады.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достижений 2018 года стипендию Губернатора Московской области получили – 66 человек, стипендию Главы городского округа - 40 обучающихся общеобразовательных организаций. Более 60 школьников стали победителями и призерами более чем в двух олимпиадах либо конкурсах.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 2015 года утверждены стандарты начального общего образования </w:t>
      </w:r>
      <w:r>
        <w:rPr>
          <w:rFonts w:ascii="Arial" w:hAnsi="Arial" w:cs="Arial"/>
          <w:color w:val="000000"/>
        </w:rPr>
        <w:br/>
        <w:t xml:space="preserve">для детей с ОВЗ и для детей с интеллектуальными нарушениями. Всего </w:t>
      </w:r>
      <w:r>
        <w:rPr>
          <w:rFonts w:ascii="Arial" w:hAnsi="Arial" w:cs="Arial"/>
          <w:color w:val="000000"/>
        </w:rPr>
        <w:br/>
        <w:t xml:space="preserve">в городском округе более 300 учеников обучаются в учреждениях </w:t>
      </w:r>
      <w:r>
        <w:rPr>
          <w:rFonts w:ascii="Arial" w:hAnsi="Arial" w:cs="Arial"/>
          <w:color w:val="000000"/>
        </w:rPr>
        <w:br/>
        <w:t>с круглосуточным пребыванием для детей с ОВЗ (VIII и IV вид). В этих учреждениях имеются стабильные результаты по адаптации и социализации детей с особыми образовательными потребностями и обеспечен оптимальный уровень готовности к введению нового стандарта.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образовательных организациях проводится работа по сохранению духовных, исторических и культурных ценностей.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базе общеобразовательных организаций городского округа Люберцы функционирует 21 школьный музей. Историко-краеведческих - 8 музеев, военно-исторических – 6, военно-патриотических – 4, исторических – 2, историко-патриотических – 1. 14 музеев были паспортизированы.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рамках Всероссийского детско-юношеского военно-патриотического общественного движения </w:t>
      </w:r>
      <w:proofErr w:type="spellStart"/>
      <w:r>
        <w:rPr>
          <w:rFonts w:ascii="Arial" w:hAnsi="Arial" w:cs="Arial"/>
          <w:color w:val="000000"/>
        </w:rPr>
        <w:t>Юнармия</w:t>
      </w:r>
      <w:proofErr w:type="spellEnd"/>
      <w:r>
        <w:rPr>
          <w:rFonts w:ascii="Arial" w:hAnsi="Arial" w:cs="Arial"/>
          <w:color w:val="000000"/>
        </w:rPr>
        <w:t xml:space="preserve"> созданы отряды юнармейцев на базе </w:t>
      </w:r>
      <w:r>
        <w:rPr>
          <w:rFonts w:ascii="Arial" w:hAnsi="Arial" w:cs="Arial"/>
          <w:color w:val="000000"/>
        </w:rPr>
        <w:br/>
        <w:t xml:space="preserve">13 общеобразовательных </w:t>
      </w:r>
      <w:proofErr w:type="gramStart"/>
      <w:r>
        <w:rPr>
          <w:rFonts w:ascii="Arial" w:hAnsi="Arial" w:cs="Arial"/>
          <w:color w:val="000000"/>
        </w:rPr>
        <w:t>организаций</w:t>
      </w:r>
      <w:proofErr w:type="gramEnd"/>
      <w:r>
        <w:rPr>
          <w:rFonts w:ascii="Arial" w:hAnsi="Arial" w:cs="Arial"/>
          <w:color w:val="000000"/>
        </w:rPr>
        <w:t xml:space="preserve"> в которых состоит 263 обучающихся. Ребята принимали участие в муниципальных, областных мероприятиях: «Ворошиловский стрелок», «Юнармейские старты», «Служу Отечеству!», </w:t>
      </w:r>
      <w:proofErr w:type="spellStart"/>
      <w:r>
        <w:rPr>
          <w:rFonts w:ascii="Arial" w:hAnsi="Arial" w:cs="Arial"/>
          <w:color w:val="000000"/>
        </w:rPr>
        <w:t>военно</w:t>
      </w:r>
      <w:proofErr w:type="spellEnd"/>
      <w:r>
        <w:rPr>
          <w:rFonts w:ascii="Arial" w:hAnsi="Arial" w:cs="Arial"/>
          <w:color w:val="000000"/>
        </w:rPr>
        <w:t xml:space="preserve"> - патриотической игре «Кубок ЦУНАМИ», экологических конкурсах </w:t>
      </w:r>
      <w:r>
        <w:rPr>
          <w:rFonts w:ascii="Arial" w:hAnsi="Arial" w:cs="Arial"/>
          <w:color w:val="000000"/>
        </w:rPr>
        <w:br/>
        <w:t>и акциях.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2018 году продолжалась работа по повышению профессионального уровня педагогических кадров, в результате 85 % имеют высшее образование, 67 % - первую и высшую квалификационные категории. В течение прошлого учебного года прошли курсы повышения квалификации и переподготовки </w:t>
      </w:r>
      <w:r>
        <w:rPr>
          <w:rFonts w:ascii="Arial" w:hAnsi="Arial" w:cs="Arial"/>
          <w:color w:val="000000"/>
        </w:rPr>
        <w:br/>
        <w:t>1 172 педагога.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2018 году в образовательные организации городского округа приняты 47 молодых специалистов. Всего в системе образования - 100 молодых специалистов. С 2018 года каждому молодому специалисту ежемесячно </w:t>
      </w:r>
      <w:r>
        <w:rPr>
          <w:rFonts w:ascii="Arial" w:hAnsi="Arial" w:cs="Arial"/>
        </w:rPr>
        <w:br/>
      </w:r>
      <w:r>
        <w:rPr>
          <w:rFonts w:ascii="Arial" w:hAnsi="Arial" w:cs="Arial"/>
          <w:color w:val="000000"/>
        </w:rPr>
        <w:t xml:space="preserve">в течение трех лет выплачивается дополнительно к окладу доплата Главы городского </w:t>
      </w:r>
      <w:r>
        <w:rPr>
          <w:rFonts w:ascii="Arial" w:hAnsi="Arial" w:cs="Arial"/>
          <w:color w:val="000000"/>
        </w:rPr>
        <w:lastRenderedPageBreak/>
        <w:t>округа. С целью социальной поддержки ежегодно работники системы образования обеспечиваются жилыми помещениями.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ТОП-100 лучших школ Московской области в 2017 году вошли гимназия № 16 «Интерес» и гимназия № 41, в 2018 году в рейтинг вошли </w:t>
      </w:r>
      <w:r>
        <w:rPr>
          <w:rFonts w:ascii="Arial" w:hAnsi="Arial" w:cs="Arial"/>
          <w:color w:val="000000"/>
        </w:rPr>
        <w:br/>
        <w:t xml:space="preserve">не только эти школы, но и Лицей № 12, Гимназия № 43, Гимназия № 56, а так же Средняя общеобразовательная школа № 8. По итогам 2017 года гимназия № 16 «Интерес» и гимназия № 41 включены в перечень учреждений Московской области с высоким уровнем достижений работы педагогического коллектива по образованию и воспитанию и получили гранты на выплату премий педагогическим и административным работникам гимназии, ежемесячно с апреля по ноябрь 2018 года.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2018 году присвоен статус Региональной инновационной площадки: Инженерной школе № 6, детскому саду № 6 «Белоснежка», которым выделено на приобретение оборудования 1100 тыс. руб. и 550 тыс. руб. соответственно. Всего в городском округе 6 общеобразовательных учреждений, имеют статус РИП по распространению лучших практик регионального образования.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 период 2015 - 2018 годов выросла заработная плата педагогов,</w:t>
      </w:r>
      <w:r>
        <w:rPr>
          <w:rFonts w:ascii="Arial" w:hAnsi="Arial" w:cs="Arial"/>
        </w:rPr>
        <w:t xml:space="preserve"> в том числе выполнены все плановые показатели по росту заработной платы работников бюджетной сферы </w:t>
      </w:r>
      <w:bookmarkStart w:id="25" w:name="OLE_LINK58"/>
      <w:bookmarkStart w:id="26" w:name="OLE_LINK59"/>
      <w:r>
        <w:rPr>
          <w:rFonts w:ascii="Arial" w:hAnsi="Arial" w:cs="Arial"/>
        </w:rPr>
        <w:t>в соответствии с</w:t>
      </w:r>
      <w:r>
        <w:rPr>
          <w:rFonts w:ascii="Arial" w:hAnsi="Arial" w:cs="Arial"/>
          <w:color w:val="000000"/>
        </w:rPr>
        <w:t xml:space="preserve"> «майскими» указами Президента </w:t>
      </w:r>
      <w:bookmarkStart w:id="27" w:name="OLE_LINK122"/>
      <w:bookmarkStart w:id="28" w:name="OLE_LINK121"/>
      <w:bookmarkStart w:id="29" w:name="OLE_LINK120"/>
      <w:r>
        <w:rPr>
          <w:rFonts w:ascii="Arial" w:hAnsi="Arial" w:cs="Arial"/>
          <w:color w:val="000000"/>
        </w:rPr>
        <w:t>Российской Федерации</w:t>
      </w:r>
      <w:bookmarkEnd w:id="27"/>
      <w:bookmarkEnd w:id="28"/>
      <w:bookmarkEnd w:id="29"/>
      <w:r>
        <w:rPr>
          <w:rFonts w:ascii="Arial" w:hAnsi="Arial" w:cs="Arial"/>
          <w:color w:val="000000"/>
        </w:rPr>
        <w:t xml:space="preserve">. </w:t>
      </w:r>
      <w:bookmarkEnd w:id="25"/>
      <w:bookmarkEnd w:id="26"/>
    </w:p>
    <w:p w:rsidR="00B55D6F" w:rsidRDefault="00B55D6F" w:rsidP="00B55D6F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 1 сентября 2018 года к заработной плате педагогических работников муниципальных общеобразовательных организаций установлена ежемесячная доплата в размере 5 000 рублей за выполнение функций классного руководителя, а так же молодым специалистам – выпускникам профессиональных образовательных организаций или образовательных организаций высшего образования.</w:t>
      </w:r>
    </w:p>
    <w:p w:rsidR="00B55D6F" w:rsidRDefault="00B55D6F" w:rsidP="00B55D6F">
      <w:pPr>
        <w:tabs>
          <w:tab w:val="left" w:pos="8080"/>
        </w:tabs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Удельный вес расходов на образование в бюджете городского округа Люберцы на 2018 год составило 53,3 % (в 2016 году – 4 402 млн. руб., в 2017 году – 4 947 млн. руб., в 2018 году – 5 320 млн. руб.). 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Культура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2018 году в городском округе Люберцы функционировали:</w:t>
      </w:r>
    </w:p>
    <w:p w:rsidR="00B55D6F" w:rsidRDefault="00B55D6F" w:rsidP="00B55D6F">
      <w:pPr>
        <w:numPr>
          <w:ilvl w:val="0"/>
          <w:numId w:val="26"/>
        </w:numPr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 парк культуры и отдыха (2 территории в г. Люберцы; 1 в п. </w:t>
      </w:r>
      <w:proofErr w:type="spellStart"/>
      <w:r>
        <w:rPr>
          <w:rFonts w:ascii="Arial" w:hAnsi="Arial" w:cs="Arial"/>
          <w:bCs/>
        </w:rPr>
        <w:t>Малаховка</w:t>
      </w:r>
      <w:proofErr w:type="spellEnd"/>
      <w:r>
        <w:rPr>
          <w:rFonts w:ascii="Arial" w:hAnsi="Arial" w:cs="Arial"/>
          <w:bCs/>
        </w:rPr>
        <w:t>),</w:t>
      </w:r>
    </w:p>
    <w:p w:rsidR="00B55D6F" w:rsidRDefault="00B55D6F" w:rsidP="00B55D6F">
      <w:pPr>
        <w:numPr>
          <w:ilvl w:val="0"/>
          <w:numId w:val="26"/>
        </w:numPr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 музей (Музейно-выставочный комплекс в его составе Люберецкий краеведческий музей, </w:t>
      </w:r>
      <w:proofErr w:type="spellStart"/>
      <w:r>
        <w:rPr>
          <w:rFonts w:ascii="Arial" w:hAnsi="Arial" w:cs="Arial"/>
          <w:bCs/>
        </w:rPr>
        <w:t>Малаховский</w:t>
      </w:r>
      <w:proofErr w:type="spellEnd"/>
      <w:r>
        <w:rPr>
          <w:rFonts w:ascii="Arial" w:hAnsi="Arial" w:cs="Arial"/>
          <w:bCs/>
        </w:rPr>
        <w:t xml:space="preserve"> музей и Картинная галерея),</w:t>
      </w:r>
    </w:p>
    <w:p w:rsidR="00B55D6F" w:rsidRDefault="00B55D6F" w:rsidP="00B55D6F">
      <w:pPr>
        <w:numPr>
          <w:ilvl w:val="0"/>
          <w:numId w:val="26"/>
        </w:numPr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 театр кукол (п. </w:t>
      </w:r>
      <w:proofErr w:type="spellStart"/>
      <w:r>
        <w:rPr>
          <w:rFonts w:ascii="Arial" w:hAnsi="Arial" w:cs="Arial"/>
          <w:bCs/>
        </w:rPr>
        <w:t>Томилино</w:t>
      </w:r>
      <w:proofErr w:type="spellEnd"/>
      <w:r>
        <w:rPr>
          <w:rFonts w:ascii="Arial" w:hAnsi="Arial" w:cs="Arial"/>
          <w:bCs/>
        </w:rPr>
        <w:t>),</w:t>
      </w:r>
    </w:p>
    <w:p w:rsidR="00B55D6F" w:rsidRDefault="00B55D6F" w:rsidP="00B55D6F">
      <w:pPr>
        <w:numPr>
          <w:ilvl w:val="0"/>
          <w:numId w:val="26"/>
        </w:numPr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 культурно-досуговых учреждения (Люберецкий Дворец культуры,  Центр культуры и семейного досуга «</w:t>
      </w:r>
      <w:proofErr w:type="spellStart"/>
      <w:r>
        <w:rPr>
          <w:rFonts w:ascii="Arial" w:hAnsi="Arial" w:cs="Arial"/>
          <w:bCs/>
        </w:rPr>
        <w:t>Томилино</w:t>
      </w:r>
      <w:proofErr w:type="spellEnd"/>
      <w:r>
        <w:rPr>
          <w:rFonts w:ascii="Arial" w:hAnsi="Arial" w:cs="Arial"/>
          <w:bCs/>
        </w:rPr>
        <w:t xml:space="preserve">», </w:t>
      </w:r>
      <w:proofErr w:type="spellStart"/>
      <w:r>
        <w:rPr>
          <w:rFonts w:ascii="Arial" w:hAnsi="Arial" w:cs="Arial"/>
          <w:bCs/>
        </w:rPr>
        <w:t>Красковский</w:t>
      </w:r>
      <w:proofErr w:type="spellEnd"/>
      <w:r>
        <w:rPr>
          <w:rFonts w:ascii="Arial" w:hAnsi="Arial" w:cs="Arial"/>
          <w:bCs/>
        </w:rPr>
        <w:t xml:space="preserve"> культурный центр),</w:t>
      </w:r>
    </w:p>
    <w:p w:rsidR="00B55D6F" w:rsidRDefault="00B55D6F" w:rsidP="00B55D6F">
      <w:pPr>
        <w:numPr>
          <w:ilvl w:val="0"/>
          <w:numId w:val="26"/>
        </w:numPr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16 библиотек (Центральная библиотека им. С. Есенина, Центральная детская библиотека «Бригантина», Централизованная библиотечная система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г. Люберцы (5 библиотек), Библиотека </w:t>
      </w:r>
      <w:proofErr w:type="spellStart"/>
      <w:r>
        <w:rPr>
          <w:rFonts w:ascii="Arial" w:hAnsi="Arial" w:cs="Arial"/>
          <w:bCs/>
        </w:rPr>
        <w:t>Томилино</w:t>
      </w:r>
      <w:proofErr w:type="spellEnd"/>
      <w:r>
        <w:rPr>
          <w:rFonts w:ascii="Arial" w:hAnsi="Arial" w:cs="Arial"/>
          <w:bCs/>
        </w:rPr>
        <w:t xml:space="preserve"> (3 библиотеки), </w:t>
      </w:r>
      <w:proofErr w:type="spellStart"/>
      <w:r>
        <w:rPr>
          <w:rFonts w:ascii="Arial" w:hAnsi="Arial" w:cs="Arial"/>
          <w:bCs/>
        </w:rPr>
        <w:t>Красковская</w:t>
      </w:r>
      <w:proofErr w:type="spellEnd"/>
      <w:r>
        <w:rPr>
          <w:rFonts w:ascii="Arial" w:hAnsi="Arial" w:cs="Arial"/>
          <w:bCs/>
        </w:rPr>
        <w:t xml:space="preserve"> централизованная библиотечная система (2 библиотеки), Центральная библиотечная система п. </w:t>
      </w:r>
      <w:proofErr w:type="spellStart"/>
      <w:r>
        <w:rPr>
          <w:rFonts w:ascii="Arial" w:hAnsi="Arial" w:cs="Arial"/>
          <w:bCs/>
        </w:rPr>
        <w:t>Малаховка</w:t>
      </w:r>
      <w:proofErr w:type="spellEnd"/>
      <w:r>
        <w:rPr>
          <w:rFonts w:ascii="Arial" w:hAnsi="Arial" w:cs="Arial"/>
          <w:bCs/>
        </w:rPr>
        <w:t xml:space="preserve"> (3 библиотеки), 1 библиотека 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 xml:space="preserve">в </w:t>
      </w:r>
      <w:proofErr w:type="spellStart"/>
      <w:r>
        <w:rPr>
          <w:rFonts w:ascii="Arial" w:hAnsi="Arial" w:cs="Arial"/>
          <w:bCs/>
        </w:rPr>
        <w:t>п</w:t>
      </w:r>
      <w:proofErr w:type="gramStart"/>
      <w:r>
        <w:rPr>
          <w:rFonts w:ascii="Arial" w:hAnsi="Arial" w:cs="Arial"/>
          <w:bCs/>
        </w:rPr>
        <w:t>.О</w:t>
      </w:r>
      <w:proofErr w:type="gramEnd"/>
      <w:r>
        <w:rPr>
          <w:rFonts w:ascii="Arial" w:hAnsi="Arial" w:cs="Arial"/>
          <w:bCs/>
        </w:rPr>
        <w:t>ктябрьский</w:t>
      </w:r>
      <w:proofErr w:type="spellEnd"/>
      <w:r>
        <w:rPr>
          <w:rFonts w:ascii="Arial" w:hAnsi="Arial" w:cs="Arial"/>
          <w:bCs/>
        </w:rPr>
        <w:t xml:space="preserve"> (входит в Центр культуры и семейного досуга «</w:t>
      </w:r>
      <w:proofErr w:type="spellStart"/>
      <w:r>
        <w:rPr>
          <w:rFonts w:ascii="Arial" w:hAnsi="Arial" w:cs="Arial"/>
          <w:bCs/>
        </w:rPr>
        <w:t>Томилино</w:t>
      </w:r>
      <w:proofErr w:type="spellEnd"/>
      <w:r>
        <w:rPr>
          <w:rFonts w:ascii="Arial" w:hAnsi="Arial" w:cs="Arial"/>
          <w:bCs/>
        </w:rPr>
        <w:t>»),</w:t>
      </w:r>
    </w:p>
    <w:p w:rsidR="00B55D6F" w:rsidRDefault="00B55D6F" w:rsidP="00B55D6F">
      <w:pPr>
        <w:numPr>
          <w:ilvl w:val="0"/>
          <w:numId w:val="26"/>
        </w:numPr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 муниципальных учреждений дополнительного образования (1 музыкальная школа, 1  хореографическая, 1  художественная и 7 школ искусств),</w:t>
      </w:r>
    </w:p>
    <w:p w:rsidR="00B55D6F" w:rsidRDefault="00B55D6F" w:rsidP="00B55D6F">
      <w:pPr>
        <w:numPr>
          <w:ilvl w:val="0"/>
          <w:numId w:val="26"/>
        </w:numPr>
        <w:ind w:left="0"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 кинотеатра.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 xml:space="preserve">В 2018 году в рамках оптимизации сети учреждений культуры </w:t>
      </w:r>
      <w:r>
        <w:rPr>
          <w:rFonts w:ascii="Arial" w:hAnsi="Arial" w:cs="Arial"/>
          <w:bCs/>
        </w:rPr>
        <w:br/>
        <w:t xml:space="preserve">МУК «Центр культуры и отдыха» присоединен к МУК «Люберецкий дворец культуры», проведена </w:t>
      </w:r>
      <w:bookmarkStart w:id="30" w:name="OLE_LINK88"/>
      <w:bookmarkStart w:id="31" w:name="OLE_LINK87"/>
      <w:bookmarkStart w:id="32" w:name="OLE_LINK82"/>
      <w:r>
        <w:rPr>
          <w:rFonts w:ascii="Arial" w:hAnsi="Arial" w:cs="Arial"/>
          <w:bCs/>
        </w:rPr>
        <w:t xml:space="preserve">реорганизация </w:t>
      </w:r>
      <w:bookmarkEnd w:id="30"/>
      <w:bookmarkEnd w:id="31"/>
      <w:bookmarkEnd w:id="32"/>
      <w:r>
        <w:rPr>
          <w:rFonts w:ascii="Arial" w:hAnsi="Arial" w:cs="Arial"/>
          <w:bCs/>
        </w:rPr>
        <w:t xml:space="preserve">библиотечной системы городского округа Люберцы (6 учреждений, включающих в себя 16 филиалов) в форме слияния библиотек </w:t>
      </w:r>
      <w:bookmarkStart w:id="33" w:name="OLE_LINK91"/>
      <w:bookmarkStart w:id="34" w:name="OLE_LINK90"/>
      <w:bookmarkStart w:id="35" w:name="OLE_LINK89"/>
      <w:r>
        <w:rPr>
          <w:rFonts w:ascii="Arial" w:hAnsi="Arial" w:cs="Arial"/>
          <w:bCs/>
        </w:rPr>
        <w:t>в одно юридическое лицо</w:t>
      </w:r>
      <w:bookmarkEnd w:id="33"/>
      <w:bookmarkEnd w:id="34"/>
      <w:bookmarkEnd w:id="35"/>
      <w:r>
        <w:rPr>
          <w:rFonts w:ascii="Arial" w:hAnsi="Arial" w:cs="Arial"/>
          <w:bCs/>
        </w:rPr>
        <w:t xml:space="preserve">, а также реорганизация </w:t>
      </w:r>
      <w:r>
        <w:rPr>
          <w:rFonts w:ascii="Arial" w:hAnsi="Arial" w:cs="Arial"/>
          <w:bCs/>
        </w:rPr>
        <w:br/>
        <w:t>МУК «Парк культуры и отдыха «</w:t>
      </w:r>
      <w:proofErr w:type="spellStart"/>
      <w:r>
        <w:rPr>
          <w:rFonts w:ascii="Arial" w:hAnsi="Arial" w:cs="Arial"/>
          <w:bCs/>
        </w:rPr>
        <w:t>Малаховка</w:t>
      </w:r>
      <w:proofErr w:type="spellEnd"/>
      <w:r>
        <w:rPr>
          <w:rFonts w:ascii="Arial" w:hAnsi="Arial" w:cs="Arial"/>
          <w:bCs/>
        </w:rPr>
        <w:t xml:space="preserve">» и МУК «Парк культуры </w:t>
      </w:r>
      <w:r>
        <w:rPr>
          <w:rFonts w:ascii="Arial" w:hAnsi="Arial" w:cs="Arial"/>
          <w:bCs/>
        </w:rPr>
        <w:br/>
        <w:t>и отдыха», который включает в</w:t>
      </w:r>
      <w:proofErr w:type="gramEnd"/>
      <w:r>
        <w:rPr>
          <w:rFonts w:ascii="Arial" w:hAnsi="Arial" w:cs="Arial"/>
          <w:bCs/>
        </w:rPr>
        <w:t xml:space="preserve"> себя «Центральный парк» и «</w:t>
      </w:r>
      <w:proofErr w:type="spellStart"/>
      <w:r>
        <w:rPr>
          <w:rFonts w:ascii="Arial" w:hAnsi="Arial" w:cs="Arial"/>
          <w:bCs/>
        </w:rPr>
        <w:t>Наташинские</w:t>
      </w:r>
      <w:proofErr w:type="spellEnd"/>
      <w:r>
        <w:rPr>
          <w:rFonts w:ascii="Arial" w:hAnsi="Arial" w:cs="Arial"/>
          <w:bCs/>
        </w:rPr>
        <w:t xml:space="preserve"> пруды» в одно юридическое лицо.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Обеспеченность различными типами учреждений культуры </w:t>
      </w:r>
      <w:r>
        <w:rPr>
          <w:rFonts w:ascii="Arial" w:hAnsi="Arial" w:cs="Arial"/>
          <w:bCs/>
        </w:rPr>
        <w:br/>
        <w:t xml:space="preserve">на территории городского округа Люберцы неоднородна. Уровень фактической </w:t>
      </w:r>
      <w:r>
        <w:rPr>
          <w:rFonts w:ascii="Arial" w:hAnsi="Arial" w:cs="Arial"/>
          <w:bCs/>
        </w:rPr>
        <w:lastRenderedPageBreak/>
        <w:t xml:space="preserve">обеспеченности населения театрами составляет 0,31 единица на 100 тысяч жителей. Уровень фактической обеспеченности библиотеками составляет </w:t>
      </w:r>
      <w:r>
        <w:rPr>
          <w:rFonts w:ascii="Arial" w:hAnsi="Arial" w:cs="Arial"/>
          <w:bCs/>
        </w:rPr>
        <w:br/>
        <w:t xml:space="preserve">4,97 единиц на 100 тысяч жителей. Уровень фактической обеспеченности учреждениями культурно - досугового типа составляет 2,49 единиц на 100 тысяч жителей. Уровень фактической обеспеченности музеями составляет </w:t>
      </w:r>
      <w:r>
        <w:rPr>
          <w:rFonts w:ascii="Arial" w:hAnsi="Arial" w:cs="Arial"/>
          <w:bCs/>
        </w:rPr>
        <w:br/>
        <w:t xml:space="preserve">0,62 единицы на 100 тысяч жителей.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bCs/>
        </w:rPr>
        <w:t xml:space="preserve">В 2017 году введен в эксплуатацию Культурно-просветительский центр </w:t>
      </w:r>
      <w:r>
        <w:rPr>
          <w:rFonts w:ascii="Arial" w:hAnsi="Arial" w:cs="Arial"/>
          <w:bCs/>
        </w:rPr>
        <w:br/>
        <w:t xml:space="preserve">в г. Люберцы. </w:t>
      </w:r>
      <w:r>
        <w:rPr>
          <w:rFonts w:ascii="Arial" w:hAnsi="Arial" w:cs="Arial"/>
          <w:color w:val="212121"/>
        </w:rPr>
        <w:t xml:space="preserve">В 2018 году введена в эксплуатацию Картинная галерея, строительство которой было заморожено более 6 лет. </w:t>
      </w:r>
    </w:p>
    <w:p w:rsidR="00B55D6F" w:rsidRDefault="00B55D6F" w:rsidP="00B55D6F">
      <w:pPr>
        <w:pStyle w:val="a6"/>
        <w:ind w:left="0"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В 2016 - 2017 при поддержке Правительства Московской области проведен ремонт здания «Дома офицеров» в г. Люберцы. В обновленном здании продолжили работу творческие кружки и секции «Центра культуры </w:t>
      </w:r>
      <w:r>
        <w:rPr>
          <w:rFonts w:ascii="Arial" w:hAnsi="Arial" w:cs="Arial"/>
          <w:color w:val="212121"/>
        </w:rPr>
        <w:br/>
        <w:t>и отдыха» и «Детской школы искусств № 4».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Ведутся работы по сохранению и поддержанию в надлежащем виде объектов культурного наследия.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bookmarkStart w:id="36" w:name="OLE_LINK132"/>
      <w:bookmarkStart w:id="37" w:name="OLE_LINK131"/>
      <w:r>
        <w:rPr>
          <w:rFonts w:ascii="Arial" w:hAnsi="Arial" w:cs="Arial"/>
          <w:bCs/>
        </w:rPr>
        <w:t>В 2017 году учреждениями культуры проведено 3 348 мероприятий,</w:t>
      </w:r>
      <w:r>
        <w:rPr>
          <w:rFonts w:ascii="Arial" w:hAnsi="Arial" w:cs="Arial"/>
          <w:bCs/>
        </w:rPr>
        <w:br/>
        <w:t>в 2018 году более 4 000 мероприятий.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После масштабной реконструкции в 2016 году открылся музей Героя Советского Союза, лётчика-космонавта Юрия Гагарина, основанный </w:t>
      </w:r>
      <w:r>
        <w:rPr>
          <w:rFonts w:ascii="Arial" w:hAnsi="Arial" w:cs="Arial"/>
          <w:color w:val="212121"/>
        </w:rPr>
        <w:br/>
        <w:t>в 1962 году в Люберецком училище.</w:t>
      </w:r>
    </w:p>
    <w:bookmarkEnd w:id="36"/>
    <w:bookmarkEnd w:id="37"/>
    <w:p w:rsidR="00B55D6F" w:rsidRDefault="00B55D6F" w:rsidP="00B55D6F">
      <w:pPr>
        <w:ind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Для сохранности фондов музеев ведётся каталог музейных ценностей. Фонды музеев </w:t>
      </w:r>
      <w:proofErr w:type="gramStart"/>
      <w:r>
        <w:rPr>
          <w:rFonts w:ascii="Arial" w:hAnsi="Arial" w:cs="Arial"/>
          <w:color w:val="212121"/>
        </w:rPr>
        <w:t>на конец</w:t>
      </w:r>
      <w:proofErr w:type="gramEnd"/>
      <w:r>
        <w:rPr>
          <w:rFonts w:ascii="Arial" w:hAnsi="Arial" w:cs="Arial"/>
          <w:color w:val="212121"/>
        </w:rPr>
        <w:t xml:space="preserve"> 2016 года составляют 20 957 экземпляра, </w:t>
      </w:r>
      <w:r>
        <w:rPr>
          <w:rFonts w:ascii="Arial" w:hAnsi="Arial" w:cs="Arial"/>
          <w:color w:val="212121"/>
        </w:rPr>
        <w:br/>
        <w:t xml:space="preserve">что на 613 экземпляров больше по сравнению с 2015 годом. В 2018 году </w:t>
      </w:r>
      <w:bookmarkStart w:id="38" w:name="OLE_LINK68"/>
      <w:bookmarkStart w:id="39" w:name="OLE_LINK67"/>
      <w:r>
        <w:rPr>
          <w:rFonts w:ascii="Arial" w:hAnsi="Arial" w:cs="Arial"/>
          <w:color w:val="212121"/>
        </w:rPr>
        <w:t xml:space="preserve">фонд музейных ценностей увеличился до </w:t>
      </w:r>
      <w:bookmarkEnd w:id="38"/>
      <w:bookmarkEnd w:id="39"/>
      <w:r>
        <w:rPr>
          <w:rFonts w:ascii="Arial" w:hAnsi="Arial" w:cs="Arial"/>
          <w:color w:val="212121"/>
        </w:rPr>
        <w:t>26,0 тыс. экземпляров.</w:t>
      </w:r>
    </w:p>
    <w:p w:rsidR="00B55D6F" w:rsidRDefault="00B55D6F" w:rsidP="00B55D6F">
      <w:pPr>
        <w:pStyle w:val="a6"/>
        <w:ind w:left="0"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Капитально отремонтировано здание библиотеки на Октябрьском проспекте.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212121"/>
        </w:rPr>
        <w:t>Библиотека обслуживает пользователей всех возрастов. Общий книжный фонд составляет 48 152 экземпляров.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Как и во всей Московской области наблюдалось уменьшение числа пользователей и объемов книговыдачи, но с целью привлечения читателей </w:t>
      </w:r>
      <w:r>
        <w:rPr>
          <w:rFonts w:ascii="Arial" w:hAnsi="Arial" w:cs="Arial"/>
          <w:bCs/>
        </w:rPr>
        <w:br/>
        <w:t xml:space="preserve">на базе библиотек начали работать кружки детского творчества. </w:t>
      </w:r>
      <w:proofErr w:type="gramStart"/>
      <w:r>
        <w:rPr>
          <w:rFonts w:ascii="Arial" w:hAnsi="Arial" w:cs="Arial"/>
          <w:bCs/>
        </w:rPr>
        <w:t xml:space="preserve">Основные формы: просмотр кинофильмов и мультфильмов, творческие конкурсы, встречи </w:t>
      </w:r>
      <w:r>
        <w:rPr>
          <w:rFonts w:ascii="Arial" w:hAnsi="Arial" w:cs="Arial"/>
          <w:bCs/>
        </w:rPr>
        <w:br/>
        <w:t>и беседы с выдающимися людьми, литературно-музыкальные вечера, выставки, беседы, уроки, лекции, викторины.</w:t>
      </w:r>
      <w:proofErr w:type="gramEnd"/>
      <w:r>
        <w:rPr>
          <w:rFonts w:ascii="Arial" w:hAnsi="Arial" w:cs="Arial"/>
          <w:bCs/>
        </w:rPr>
        <w:t xml:space="preserve"> Ежегодно из бюджета городского округа выделяются средства на обновление книжных фондов, что так же влияет </w:t>
      </w:r>
      <w:r>
        <w:rPr>
          <w:rFonts w:ascii="Arial" w:hAnsi="Arial" w:cs="Arial"/>
          <w:bCs/>
        </w:rPr>
        <w:br/>
        <w:t xml:space="preserve">на повышение читательского спроса.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Для дальнейшего улучшения качества оказания муниципальных услуг </w:t>
      </w:r>
      <w:r>
        <w:rPr>
          <w:rFonts w:ascii="Arial" w:hAnsi="Arial" w:cs="Arial"/>
          <w:bCs/>
        </w:rPr>
        <w:br/>
        <w:t>в сфере культуры разработана муниципальная программа «Культура» городского округа Люберцы» на срок 2018-2022 годы. В рамках реализации этой программы предусмотрено: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доведение до 100 % средней заработной платы работников культуры </w:t>
      </w:r>
      <w:r>
        <w:rPr>
          <w:rFonts w:ascii="Arial" w:hAnsi="Arial" w:cs="Arial"/>
          <w:bCs/>
        </w:rPr>
        <w:br/>
        <w:t>и педагогических работников дополнительного образования детей в сфере культуры до заработной платы в Московской области к 2020 году;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доведение доли учреждений культуры и дополнительного образования детей в сфере культуры, требующих капитального ремонта к 2020 году до 0%;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занесение библиографических записей всего книжного фонда </w:t>
      </w:r>
      <w:r>
        <w:rPr>
          <w:rFonts w:ascii="Arial" w:hAnsi="Arial" w:cs="Arial"/>
          <w:bCs/>
        </w:rPr>
        <w:br/>
        <w:t>в электронную базу данных к 2020 году;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создание благоустроенных парковых территорий.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Развитие </w:t>
      </w:r>
      <w:r>
        <w:rPr>
          <w:rFonts w:ascii="Arial" w:hAnsi="Arial" w:cs="Arial"/>
          <w:b/>
        </w:rPr>
        <w:t>туристической</w:t>
      </w:r>
      <w:r>
        <w:rPr>
          <w:rFonts w:ascii="Arial" w:hAnsi="Arial" w:cs="Arial"/>
          <w:b/>
          <w:color w:val="000000"/>
        </w:rPr>
        <w:t xml:space="preserve"> индустрии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В последнее время на территории Московской области большое внимание уделяется архитектурно-художественному облику городов, а также созданию инфраструктуры для развития внутреннего туризма (строительству гостиниц, ресторанов, реконструкцией объектов культурно-исторического наследия, разработкой и созданием новых туристических маршрутов).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lastRenderedPageBreak/>
        <w:t xml:space="preserve">В 2018 году в городском округе Люберцы создан Музейно-выставочный комплекс, который включает в себя Картинную галерею, музей истории </w:t>
      </w:r>
      <w:r>
        <w:rPr>
          <w:rFonts w:ascii="Arial" w:hAnsi="Arial" w:cs="Arial"/>
          <w:color w:val="212121"/>
        </w:rPr>
        <w:br/>
        <w:t xml:space="preserve">и культуры </w:t>
      </w:r>
      <w:proofErr w:type="spellStart"/>
      <w:r>
        <w:rPr>
          <w:rFonts w:ascii="Arial" w:hAnsi="Arial" w:cs="Arial"/>
          <w:color w:val="212121"/>
        </w:rPr>
        <w:t>Малаховка</w:t>
      </w:r>
      <w:proofErr w:type="spellEnd"/>
      <w:r>
        <w:rPr>
          <w:rFonts w:ascii="Arial" w:hAnsi="Arial" w:cs="Arial"/>
          <w:color w:val="212121"/>
        </w:rPr>
        <w:t xml:space="preserve"> и Люберецкий краеведческий музей. Функционирует туристско-информационный центр ТИЦ «Подмосковье Люберцы», который организовывает туристские потоки и предоставляет информацию о культурно–исторических объектах, находящихся на территории </w:t>
      </w:r>
      <w:proofErr w:type="spellStart"/>
      <w:r>
        <w:rPr>
          <w:rFonts w:ascii="Arial" w:hAnsi="Arial" w:cs="Arial"/>
          <w:color w:val="212121"/>
        </w:rPr>
        <w:t>г.о</w:t>
      </w:r>
      <w:proofErr w:type="spellEnd"/>
      <w:r>
        <w:rPr>
          <w:rFonts w:ascii="Arial" w:hAnsi="Arial" w:cs="Arial"/>
          <w:color w:val="212121"/>
        </w:rPr>
        <w:t xml:space="preserve">. Люберцы, занимается разработкой туристских маршрутов. Для местных жителей и туристов разработаны пешие маршруты по достопримечательностям округа. </w:t>
      </w:r>
      <w:r>
        <w:rPr>
          <w:rFonts w:ascii="Arial" w:hAnsi="Arial" w:cs="Arial"/>
          <w:color w:val="212121"/>
        </w:rPr>
        <w:br/>
        <w:t xml:space="preserve">В выставочных залах постоянно проводятся различные экспозиции, мастер-классы, встречи с интересными людьми. С каждым годом растет количество знаков дорожной навигации. Все учреждения культуры и дополнительного образования в сфере культуры работают на портале «Пульс Подмосковья». 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На территории городского округа Люберцы к интересным для посещения туристическим объектам относятся: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памятник герою революции 1905 года – машинисту А.В. Ухтомскому;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зданию ремесленного училища, где в 1948-1951 </w:t>
      </w:r>
      <w:proofErr w:type="spellStart"/>
      <w:r>
        <w:rPr>
          <w:rFonts w:ascii="Arial" w:hAnsi="Arial" w:cs="Arial"/>
        </w:rPr>
        <w:t>г.г</w:t>
      </w:r>
      <w:proofErr w:type="spellEnd"/>
      <w:r>
        <w:rPr>
          <w:rFonts w:ascii="Arial" w:hAnsi="Arial" w:cs="Arial"/>
        </w:rPr>
        <w:t xml:space="preserve">. учился первый </w:t>
      </w:r>
      <w:r>
        <w:rPr>
          <w:rFonts w:ascii="Arial" w:hAnsi="Arial" w:cs="Arial"/>
        </w:rPr>
        <w:br/>
        <w:t xml:space="preserve">в мире космонавт, Герой Советского Союза Гагарин Юрий Алексеевич;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Дом </w:t>
      </w:r>
      <w:proofErr w:type="spellStart"/>
      <w:r>
        <w:rPr>
          <w:rFonts w:ascii="Arial" w:hAnsi="Arial" w:cs="Arial"/>
        </w:rPr>
        <w:t>Круминга</w:t>
      </w:r>
      <w:proofErr w:type="spellEnd"/>
      <w:r>
        <w:rPr>
          <w:rFonts w:ascii="Arial" w:hAnsi="Arial" w:cs="Arial"/>
        </w:rPr>
        <w:t xml:space="preserve"> Н. А., где в 1920 г. - 1921 г. бывал </w:t>
      </w:r>
      <w:proofErr w:type="spellStart"/>
      <w:r>
        <w:rPr>
          <w:rFonts w:ascii="Arial" w:hAnsi="Arial" w:cs="Arial"/>
        </w:rPr>
        <w:t>В.И.Ленин</w:t>
      </w:r>
      <w:proofErr w:type="spell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Усадьба «Коренево»;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церковь Преображения Господня в п. 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Усадьба  «</w:t>
      </w:r>
      <w:proofErr w:type="spellStart"/>
      <w:r>
        <w:rPr>
          <w:rFonts w:ascii="Arial" w:hAnsi="Arial" w:cs="Arial"/>
        </w:rPr>
        <w:t>Богородское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>»;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церковь Владимирской иконы Божьей Матери в п. 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дом Долгова п. Октябрьский;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курганы «Октябрьские» (</w:t>
      </w:r>
      <w:proofErr w:type="spellStart"/>
      <w:r>
        <w:rPr>
          <w:rFonts w:ascii="Arial" w:hAnsi="Arial" w:cs="Arial"/>
        </w:rPr>
        <w:t>Балятинские</w:t>
      </w:r>
      <w:proofErr w:type="spellEnd"/>
      <w:r>
        <w:rPr>
          <w:rFonts w:ascii="Arial" w:hAnsi="Arial" w:cs="Arial"/>
        </w:rPr>
        <w:t>) п. </w:t>
      </w:r>
      <w:proofErr w:type="gramStart"/>
      <w:r>
        <w:rPr>
          <w:rFonts w:ascii="Arial" w:hAnsi="Arial" w:cs="Arial"/>
        </w:rPr>
        <w:t>Октябрьский</w:t>
      </w:r>
      <w:proofErr w:type="gram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дача писателя Н.Д. </w:t>
      </w:r>
      <w:proofErr w:type="spellStart"/>
      <w:r>
        <w:rPr>
          <w:rFonts w:ascii="Arial" w:hAnsi="Arial" w:cs="Arial"/>
        </w:rPr>
        <w:t>Телешова</w:t>
      </w:r>
      <w:proofErr w:type="spellEnd"/>
      <w:r>
        <w:rPr>
          <w:rFonts w:ascii="Arial" w:hAnsi="Arial" w:cs="Arial"/>
        </w:rPr>
        <w:t>, где бывали Ф.И. Шаляпин, И.А. Бунин, А.А. Андреев, В.И. </w:t>
      </w:r>
      <w:proofErr w:type="spellStart"/>
      <w:r>
        <w:rPr>
          <w:rFonts w:ascii="Arial" w:hAnsi="Arial" w:cs="Arial"/>
        </w:rPr>
        <w:t>Немерович</w:t>
      </w:r>
      <w:proofErr w:type="spellEnd"/>
      <w:r>
        <w:rPr>
          <w:rFonts w:ascii="Arial" w:hAnsi="Arial" w:cs="Arial"/>
        </w:rPr>
        <w:t> - Данченко и другие деятели русской культуры в п. 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церковь Петра и Павла в п.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братская могила борцов двух революций г. Люберцы;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церковь Успения Пресвятой Богородицы село Жилино;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курганская группа «Токаревская-2» деревня </w:t>
      </w:r>
      <w:proofErr w:type="spellStart"/>
      <w:r>
        <w:rPr>
          <w:rFonts w:ascii="Arial" w:hAnsi="Arial" w:cs="Arial"/>
        </w:rPr>
        <w:t>Токарево</w:t>
      </w:r>
      <w:proofErr w:type="spell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курганный могильник село </w:t>
      </w:r>
      <w:proofErr w:type="spellStart"/>
      <w:r>
        <w:rPr>
          <w:rFonts w:ascii="Arial" w:hAnsi="Arial" w:cs="Arial"/>
        </w:rPr>
        <w:t>Гремячево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Токарево</w:t>
      </w:r>
      <w:proofErr w:type="spellEnd"/>
      <w:r>
        <w:rPr>
          <w:rFonts w:ascii="Arial" w:hAnsi="Arial" w:cs="Arial"/>
        </w:rPr>
        <w:t>, церковь Святой Троицы г. Люберцы;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Усадьба «</w:t>
      </w:r>
      <w:proofErr w:type="spellStart"/>
      <w:r>
        <w:rPr>
          <w:rFonts w:ascii="Arial" w:hAnsi="Arial" w:cs="Arial"/>
        </w:rPr>
        <w:t>Зенино</w:t>
      </w:r>
      <w:proofErr w:type="spellEnd"/>
      <w:r>
        <w:rPr>
          <w:rFonts w:ascii="Arial" w:hAnsi="Arial" w:cs="Arial"/>
        </w:rPr>
        <w:t>».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Сохранение данных объектов является важным аспектом в деле военно-патриотического воспитания подрастающего поколения.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 развитием туризма в округе растет спрос на увеличение количества мест коллективных размещений. По данным мониторинга систем бронирования в городском округе Люберцы в настоящее время функционирует </w:t>
      </w:r>
      <w:r>
        <w:rPr>
          <w:rFonts w:ascii="Arial" w:hAnsi="Arial" w:cs="Arial"/>
          <w:bCs/>
        </w:rPr>
        <w:br/>
        <w:t>35 организаций коллективного размещения (2 909 мест размещения).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Физическая</w:t>
      </w:r>
      <w:r>
        <w:rPr>
          <w:rFonts w:ascii="Arial" w:hAnsi="Arial" w:cs="Arial"/>
          <w:b/>
          <w:color w:val="000000"/>
        </w:rPr>
        <w:t xml:space="preserve"> культура и спорт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ru-RU"/>
        </w:rPr>
        <w:t xml:space="preserve">На территории городского округа Люберцы осуществляют деятельность </w:t>
      </w:r>
      <w:r>
        <w:rPr>
          <w:rFonts w:ascii="Arial" w:eastAsia="Times New Roman" w:hAnsi="Arial" w:cs="Arial"/>
          <w:lang w:eastAsia="ru-RU"/>
        </w:rPr>
        <w:br/>
      </w:r>
      <w:r>
        <w:rPr>
          <w:rFonts w:ascii="Arial" w:eastAsia="Times New Roman" w:hAnsi="Arial" w:cs="Arial"/>
        </w:rPr>
        <w:t xml:space="preserve">4 муниципальных учреждения, осуществляющих спортивную подготовку (спортивные школы), 6 стадионов, 9 </w:t>
      </w:r>
      <w:proofErr w:type="spellStart"/>
      <w:r>
        <w:rPr>
          <w:rFonts w:ascii="Arial" w:eastAsia="Times New Roman" w:hAnsi="Arial" w:cs="Arial"/>
        </w:rPr>
        <w:t>ФОКов</w:t>
      </w:r>
      <w:proofErr w:type="spellEnd"/>
      <w:r>
        <w:rPr>
          <w:rFonts w:ascii="Arial" w:eastAsia="Times New Roman" w:hAnsi="Arial" w:cs="Arial"/>
        </w:rPr>
        <w:t>, 4 спортивные школы, 1 Дворец спорта.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val="ru-RU" w:eastAsia="ru-RU"/>
        </w:rPr>
      </w:pPr>
      <w:r>
        <w:rPr>
          <w:rFonts w:ascii="Arial" w:eastAsia="Times New Roman" w:hAnsi="Arial" w:cs="Arial"/>
          <w:lang w:eastAsia="ru-RU"/>
        </w:rPr>
        <w:t>На территории городского округа расположено 98 спортивных залов общей площадью более 34 430 тыс. м</w:t>
      </w:r>
      <w:r>
        <w:rPr>
          <w:rFonts w:ascii="Arial" w:eastAsia="Times New Roman" w:hAnsi="Arial" w:cs="Arial"/>
          <w:vertAlign w:val="superscript"/>
          <w:lang w:eastAsia="ru-RU"/>
        </w:rPr>
        <w:t>2</w:t>
      </w:r>
      <w:r>
        <w:rPr>
          <w:rFonts w:ascii="Arial" w:eastAsia="Times New Roman" w:hAnsi="Arial" w:cs="Arial"/>
          <w:lang w:eastAsia="ru-RU"/>
        </w:rPr>
        <w:t xml:space="preserve">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Продолжается работа по обустройству плоскостных спортивных сооружений (спортивных площадок) на внутридомовой территории.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 2017 году количество плоскостных сооружений составило 346 единиц, общей площадью 34 430 тыс. кв. м, в 2018 году количество площадок увеличилось на 7, общей площадью 34 298 тыс. кв. м, в 2019 году площадь плоскостных сооружений составит 35 470 тыс. кв. м.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На территории городского округа Люберцы расположено </w:t>
      </w:r>
      <w:r>
        <w:rPr>
          <w:rFonts w:ascii="Arial" w:eastAsia="Times New Roman" w:hAnsi="Arial" w:cs="Arial"/>
          <w:lang w:eastAsia="ru-RU"/>
        </w:rPr>
        <w:br/>
        <w:t>9 плавательных бассейнов общей площадью 1 846 м</w:t>
      </w:r>
      <w:r>
        <w:rPr>
          <w:rFonts w:ascii="Arial" w:eastAsia="Times New Roman" w:hAnsi="Arial" w:cs="Arial"/>
          <w:vertAlign w:val="superscript"/>
          <w:lang w:eastAsia="ru-RU"/>
        </w:rPr>
        <w:t>2</w:t>
      </w:r>
      <w:r>
        <w:rPr>
          <w:rFonts w:ascii="Arial" w:eastAsia="Times New Roman" w:hAnsi="Arial" w:cs="Arial"/>
          <w:lang w:eastAsia="ru-RU"/>
        </w:rPr>
        <w:t xml:space="preserve"> зеркала воды.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Реализация мероприятий, направленных на повышение мотивации жителей области к регулярным занятиям физической культурой и спортом, привлечение к ведению здорового образа жизни различных категорий и групп населения, в том числе </w:t>
      </w:r>
      <w:r>
        <w:rPr>
          <w:rFonts w:ascii="Arial" w:eastAsia="Times New Roman" w:hAnsi="Arial" w:cs="Arial"/>
        </w:rPr>
        <w:t xml:space="preserve">организацию физкультурно-оздоровительной работы </w:t>
      </w:r>
      <w:r>
        <w:rPr>
          <w:rFonts w:ascii="Arial" w:eastAsia="Times New Roman" w:hAnsi="Arial" w:cs="Arial"/>
        </w:rPr>
        <w:br/>
        <w:t xml:space="preserve">по месту жительства граждан (развитие дворового спорта), а также </w:t>
      </w:r>
      <w:r>
        <w:rPr>
          <w:rFonts w:ascii="Arial" w:eastAsia="Times New Roman" w:hAnsi="Arial" w:cs="Arial"/>
          <w:lang w:eastAsia="ru-RU"/>
        </w:rPr>
        <w:t xml:space="preserve">совершенствование спортивной базы, увеличение фактической обеспеченности и повышение эффективности работы спортивных сооружений позволит </w:t>
      </w:r>
      <w:r>
        <w:rPr>
          <w:rFonts w:ascii="Arial" w:eastAsia="Times New Roman" w:hAnsi="Arial" w:cs="Arial"/>
          <w:lang w:eastAsia="ru-RU"/>
        </w:rPr>
        <w:br/>
        <w:t>в прогнозном периоде создать благоприятные условия для развития физической культуры и спорта в городском округе.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С целью вовлечения населения в систематические занятия физической культурой и спортом на территории городского округа Люберцы,                                 в соответствии с Единым календарным планом в городском округе Люберцы ежегодно проводится более 200 физкультурных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Открытый Всероссийский турнир класса «А» по боксу памяти мастеров спорта Ю. Капитонова и В. Кузина;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Открытый Международный турнир по каратэ имени дважды Героя Советского Союза летчика-космонавта В.В. Горбатко;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Открытый Всероссийский турнир по греко-римской борьбе, посвященный памяти чемпиона мира Н.М. Шмакова;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</w:rPr>
        <w:t>Островерхова</w:t>
      </w:r>
      <w:proofErr w:type="spellEnd"/>
      <w:r>
        <w:rPr>
          <w:rFonts w:ascii="Arial" w:hAnsi="Arial" w:cs="Arial"/>
        </w:rPr>
        <w:t>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 рамках реализации государственной программы «Спорт Подмосковья» на условиях </w:t>
      </w:r>
      <w:proofErr w:type="spellStart"/>
      <w:r>
        <w:rPr>
          <w:rFonts w:ascii="Arial" w:eastAsia="Times New Roman" w:hAnsi="Arial" w:cs="Arial"/>
          <w:lang w:eastAsia="ru-RU"/>
        </w:rPr>
        <w:t>софинансирования</w:t>
      </w:r>
      <w:proofErr w:type="spellEnd"/>
      <w:r>
        <w:rPr>
          <w:rFonts w:ascii="Arial" w:eastAsia="Times New Roman" w:hAnsi="Arial" w:cs="Arial"/>
          <w:lang w:eastAsia="ru-RU"/>
        </w:rPr>
        <w:t xml:space="preserve"> на стадионе «Торпедо» в 2016 году установлена </w:t>
      </w:r>
      <w:r>
        <w:rPr>
          <w:rFonts w:ascii="Arial" w:eastAsia="Times New Roman" w:hAnsi="Arial" w:cs="Arial"/>
          <w:lang w:eastAsia="ru-RU"/>
        </w:rPr>
        <w:br/>
        <w:t>и оборудована площадка с искусственным покрытием для выполнения нормативов ГТО, произведена укладка беговой дорожки.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На стадионе «Труд» п. </w:t>
      </w:r>
      <w:proofErr w:type="spellStart"/>
      <w:r>
        <w:rPr>
          <w:rFonts w:ascii="Arial" w:eastAsia="Times New Roman" w:hAnsi="Arial" w:cs="Arial"/>
          <w:lang w:eastAsia="ru-RU"/>
        </w:rPr>
        <w:t>Малаховка</w:t>
      </w:r>
      <w:proofErr w:type="spellEnd"/>
      <w:r>
        <w:rPr>
          <w:rFonts w:ascii="Arial" w:eastAsia="Times New Roman" w:hAnsi="Arial" w:cs="Arial"/>
          <w:lang w:eastAsia="ru-RU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eastAsia="Times New Roman" w:hAnsi="Arial" w:cs="Arial"/>
          <w:lang w:eastAsia="ru-RU"/>
        </w:rPr>
        <w:t>Воркаут</w:t>
      </w:r>
      <w:proofErr w:type="spellEnd"/>
      <w:r>
        <w:rPr>
          <w:rFonts w:ascii="Arial" w:eastAsia="Times New Roman" w:hAnsi="Arial" w:cs="Arial"/>
          <w:lang w:eastAsia="ru-RU"/>
        </w:rPr>
        <w:t xml:space="preserve">», установлена </w:t>
      </w:r>
      <w:r>
        <w:rPr>
          <w:rFonts w:ascii="Arial" w:eastAsia="Times New Roman" w:hAnsi="Arial" w:cs="Arial"/>
          <w:lang w:eastAsia="ru-RU"/>
        </w:rPr>
        <w:br/>
        <w:t xml:space="preserve">и оборудована хоккейная коробка с раздевалками и трибунами на 96 мест.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ru-RU"/>
        </w:rPr>
        <w:t xml:space="preserve">В 2017 </w:t>
      </w:r>
      <w:r>
        <w:rPr>
          <w:rFonts w:ascii="Arial" w:eastAsia="Times New Roman" w:hAnsi="Arial" w:cs="Arial"/>
        </w:rPr>
        <w:t xml:space="preserve">на территории школы № 10 в г. Люберцы построили спортивный мини-стадион. В 2018 году построили подобных стадионов еще на территории трех школ. В 2019 году на территории поселка Октябрьский введена                             в эксплуатацию Универсальная хоккейная коробка.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За счет собственных средств на территории МУ стадион «Электрон» </w:t>
      </w:r>
      <w:r>
        <w:rPr>
          <w:rFonts w:ascii="Arial" w:eastAsia="Times New Roman" w:hAnsi="Arial" w:cs="Arial"/>
          <w:lang w:eastAsia="ru-RU"/>
        </w:rPr>
        <w:br/>
        <w:t xml:space="preserve">п. </w:t>
      </w:r>
      <w:proofErr w:type="spellStart"/>
      <w:r>
        <w:rPr>
          <w:rFonts w:ascii="Arial" w:eastAsia="Times New Roman" w:hAnsi="Arial" w:cs="Arial"/>
          <w:lang w:eastAsia="ru-RU"/>
        </w:rPr>
        <w:t>Красково</w:t>
      </w:r>
      <w:proofErr w:type="spellEnd"/>
      <w:r>
        <w:rPr>
          <w:rFonts w:ascii="Arial" w:eastAsia="Times New Roman" w:hAnsi="Arial" w:cs="Arial"/>
          <w:lang w:eastAsia="ru-RU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На стадионе «Урожай» п. </w:t>
      </w:r>
      <w:proofErr w:type="spellStart"/>
      <w:r>
        <w:rPr>
          <w:rFonts w:ascii="Arial" w:eastAsia="Times New Roman" w:hAnsi="Arial" w:cs="Arial"/>
          <w:lang w:eastAsia="ru-RU"/>
        </w:rPr>
        <w:t>Томилино</w:t>
      </w:r>
      <w:proofErr w:type="spellEnd"/>
      <w:r>
        <w:rPr>
          <w:rFonts w:ascii="Arial" w:eastAsia="Times New Roman" w:hAnsi="Arial" w:cs="Arial"/>
          <w:lang w:eastAsia="ru-RU"/>
        </w:rPr>
        <w:t xml:space="preserve"> сделана новая современная беговая дорожка с искусственным резиновым покрытием.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 городском округе Люберцы успешно реализуется программа «Спорт                  в каждый двор», в ней принимают участие более 7 тысяч человек.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Постоянно растет число видов спорта, которые активно развиваются на территории городского округа. Подписаны соглашения о сотрудничестве между Администрацией и Федерациями регби и гребли на байдарках и каноэ.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На территории округа развиваются 17 Олимпийских видов спорта.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 труду и обороне» городской округ Люберцы в полном объеме включился в работу по внедрению комплекса ГТО в городском округе Люберцы проведено более 200 мероприятий по выполнению испытаний (тестов) комплекса ГТО учащимися общеобразовательных учреждениях </w:t>
      </w:r>
      <w:r>
        <w:rPr>
          <w:rFonts w:ascii="Arial" w:eastAsia="Times New Roman" w:hAnsi="Arial" w:cs="Arial"/>
          <w:lang w:eastAsia="ru-RU"/>
        </w:rPr>
        <w:br/>
        <w:t xml:space="preserve">в которых приняли участие более 7 500 человек. Запущены проекты «В школу    с ГТО» и </w:t>
      </w:r>
      <w:r>
        <w:rPr>
          <w:rFonts w:ascii="Arial" w:eastAsia="Times New Roman" w:hAnsi="Arial" w:cs="Arial"/>
          <w:lang w:eastAsia="ru-RU"/>
        </w:rPr>
        <w:lastRenderedPageBreak/>
        <w:t xml:space="preserve">«Кубок ГТО», в которых приняло участие более 45 тысяч человек, более 2 тысяч получили знаки ГТО.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 2018 году 7 спортсменов стали победителями на различных чемпионатах и первенствах европейского уровня.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 2019 году планируется открыть спортивно-развлекательный кластер «</w:t>
      </w:r>
      <w:proofErr w:type="spellStart"/>
      <w:r>
        <w:rPr>
          <w:rFonts w:ascii="Arial" w:eastAsia="Times New Roman" w:hAnsi="Arial" w:cs="Arial"/>
          <w:lang w:eastAsia="ru-RU"/>
        </w:rPr>
        <w:t>Кореневский</w:t>
      </w:r>
      <w:proofErr w:type="spellEnd"/>
      <w:r>
        <w:rPr>
          <w:rFonts w:ascii="Arial" w:eastAsia="Times New Roman" w:hAnsi="Arial" w:cs="Arial"/>
          <w:lang w:eastAsia="ru-RU"/>
        </w:rPr>
        <w:t xml:space="preserve"> карьер», который будет включать в себя гребную, лыжную                  и базу </w:t>
      </w:r>
      <w:proofErr w:type="spellStart"/>
      <w:r>
        <w:rPr>
          <w:rFonts w:ascii="Arial" w:eastAsia="Times New Roman" w:hAnsi="Arial" w:cs="Arial"/>
          <w:lang w:eastAsia="ru-RU"/>
        </w:rPr>
        <w:t>вейкбординга</w:t>
      </w:r>
      <w:proofErr w:type="spellEnd"/>
      <w:r>
        <w:rPr>
          <w:rFonts w:ascii="Arial" w:eastAsia="Times New Roman" w:hAnsi="Arial" w:cs="Arial"/>
          <w:lang w:eastAsia="ru-RU"/>
        </w:rPr>
        <w:t xml:space="preserve">, центр пляжных видов спорта, освещенную трассу для «скандинавской ходьбы» и катания на роликах, пляж и парковку. </w:t>
      </w:r>
    </w:p>
    <w:p w:rsidR="00B55D6F" w:rsidRDefault="00B55D6F" w:rsidP="00B55D6F">
      <w:pPr>
        <w:pStyle w:val="a6"/>
        <w:tabs>
          <w:tab w:val="left" w:pos="10080"/>
        </w:tabs>
        <w:ind w:left="0" w:right="-5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Одной из главных задач в области физической культуры и спорта является привлечение инвалидов к регулярным занятиям физической культурой и спортом, а также проведение соревнований по видам адаптивным видам спорта. В рамках развития адаптивного спорта, а также с целью выполнения Указа Президента </w:t>
      </w:r>
      <w:r>
        <w:rPr>
          <w:rFonts w:ascii="Arial" w:eastAsia="Times New Roman" w:hAnsi="Arial" w:cs="Arial"/>
          <w:color w:val="000000"/>
        </w:rPr>
        <w:t>Российской Федерации</w:t>
      </w:r>
      <w:r>
        <w:rPr>
          <w:rFonts w:ascii="Arial" w:eastAsia="Times New Roman" w:hAnsi="Arial" w:cs="Arial"/>
          <w:lang w:eastAsia="ru-RU"/>
        </w:rPr>
        <w:t xml:space="preserve"> по вовлечению в занятия физической культурой и спорта лиц с ограниченными возможностями на территории городского округа Люберцы действует физкультурно-оздоровительный клуб спортсменов -инвалидов «Надежда» и отделения на базе стадионов, которые посещает более 1 000 человек.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Жилищно-коммунальное хозяйство и благоустройство</w:t>
      </w:r>
    </w:p>
    <w:p w:rsidR="00B55D6F" w:rsidRDefault="00B55D6F" w:rsidP="00B55D6F">
      <w:pPr>
        <w:ind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Наряду с социальной сферой, одним из важнейших показателей качества жизни населения является уровень развития и состояния жилищно-коммунального хозяйства на территории городского округа Люберцы.</w:t>
      </w:r>
    </w:p>
    <w:p w:rsidR="00B55D6F" w:rsidRDefault="00B55D6F" w:rsidP="00B55D6F">
      <w:pPr>
        <w:ind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Жилищный фонд городского округа Люберцы по состоянию </w:t>
      </w:r>
      <w:proofErr w:type="gramStart"/>
      <w:r>
        <w:rPr>
          <w:rFonts w:ascii="Arial" w:hAnsi="Arial" w:cs="Arial"/>
        </w:rPr>
        <w:t>на конец</w:t>
      </w:r>
      <w:proofErr w:type="gramEnd"/>
      <w:r>
        <w:rPr>
          <w:rFonts w:ascii="Arial" w:hAnsi="Arial" w:cs="Arial"/>
        </w:rPr>
        <w:t xml:space="preserve"> 2018 года составил 9 599,8 тыс. кв. метров общей площади. Уровень обеспеченности населения жильем – 30,15 км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 </w:t>
      </w:r>
      <w:proofErr w:type="gramStart"/>
      <w:r>
        <w:rPr>
          <w:rFonts w:ascii="Arial" w:hAnsi="Arial" w:cs="Arial"/>
        </w:rPr>
        <w:t>м</w:t>
      </w:r>
      <w:proofErr w:type="gramEnd"/>
      <w:r>
        <w:rPr>
          <w:rFonts w:ascii="Arial" w:hAnsi="Arial" w:cs="Arial"/>
        </w:rPr>
        <w:t xml:space="preserve"> на человека, в 2019 году возрастет до 30,92 км. м на человека, а на конец прогнозируемого периода </w:t>
      </w:r>
      <w:r>
        <w:rPr>
          <w:rFonts w:ascii="Arial" w:hAnsi="Arial" w:cs="Arial"/>
        </w:rPr>
        <w:br/>
        <w:t xml:space="preserve">с учетом ввода в эксплуатацию жилых домов, за вычетом ликвидированного ветхого и аварийного жилищного фонда, ожидается рост данного показателя </w:t>
      </w:r>
      <w:r>
        <w:rPr>
          <w:rFonts w:ascii="Arial" w:hAnsi="Arial" w:cs="Arial"/>
        </w:rPr>
        <w:br/>
        <w:t>до 33,44-33,48 кв. м на человека.</w:t>
      </w:r>
    </w:p>
    <w:p w:rsidR="00B55D6F" w:rsidRDefault="00B55D6F" w:rsidP="00B55D6F">
      <w:pPr>
        <w:ind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2018 году проведен капитальный ремонт 112 многоквартирных домов и 1329 подъездов, а так же </w:t>
      </w:r>
      <w:proofErr w:type="gramStart"/>
      <w:r>
        <w:rPr>
          <w:rFonts w:ascii="Arial" w:hAnsi="Arial" w:cs="Arial"/>
        </w:rPr>
        <w:t>проведена</w:t>
      </w:r>
      <w:proofErr w:type="gramEnd"/>
      <w:r>
        <w:rPr>
          <w:rFonts w:ascii="Arial" w:hAnsi="Arial" w:cs="Arial"/>
        </w:rPr>
        <w:t xml:space="preserve"> заменена 78 лифтов. 24 подъезда </w:t>
      </w:r>
      <w:r>
        <w:rPr>
          <w:rFonts w:ascii="Arial" w:hAnsi="Arial" w:cs="Arial"/>
        </w:rPr>
        <w:br/>
        <w:t xml:space="preserve">по согласованию с жителями получили красочное художественное оформление. </w:t>
      </w:r>
    </w:p>
    <w:p w:rsidR="00B55D6F" w:rsidRDefault="00B55D6F" w:rsidP="00B55D6F">
      <w:pPr>
        <w:ind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2019 году планируется ремонт 132 многоквартирных дома и не менее 600 подъездов, </w:t>
      </w:r>
      <w:proofErr w:type="gramStart"/>
      <w:r>
        <w:rPr>
          <w:rFonts w:ascii="Arial" w:hAnsi="Arial" w:cs="Arial"/>
        </w:rPr>
        <w:t>заменена</w:t>
      </w:r>
      <w:proofErr w:type="gramEnd"/>
      <w:r>
        <w:rPr>
          <w:rFonts w:ascii="Arial" w:hAnsi="Arial" w:cs="Arial"/>
        </w:rPr>
        <w:t xml:space="preserve"> 130 лифтов. Начата работа по установке в подъездах камер видеонаблюдения с возможностью подключения к системе «Безопасный регион». </w:t>
      </w:r>
    </w:p>
    <w:p w:rsidR="00B55D6F" w:rsidRDefault="00B55D6F" w:rsidP="00B55D6F">
      <w:pPr>
        <w:ind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расселение и снос ветхих и аварийных домов в основном ведется в рамках реализации договоров о развитии застроенных территорий. В стадии завершения реализации находятся </w:t>
      </w:r>
      <w:r>
        <w:rPr>
          <w:rFonts w:ascii="Arial" w:hAnsi="Arial" w:cs="Arial"/>
        </w:rPr>
        <w:br/>
        <w:t xml:space="preserve">2 договора о развитии застроенной территории микрорайонов № 35Ж, 1А  </w:t>
      </w:r>
      <w:r>
        <w:rPr>
          <w:rFonts w:ascii="Arial" w:hAnsi="Arial" w:cs="Arial"/>
        </w:rPr>
        <w:br/>
        <w:t>в городе Люберцы по которым полностью завершено расселение аварийных жилых домов. Строительство нового жилья ведут застройщик</w:t>
      </w:r>
      <w:proofErr w:type="gramStart"/>
      <w:r>
        <w:rPr>
          <w:rFonts w:ascii="Arial" w:hAnsi="Arial" w:cs="Arial"/>
        </w:rPr>
        <w:t>и ООО</w:t>
      </w:r>
      <w:proofErr w:type="gramEnd"/>
      <w:r>
        <w:rPr>
          <w:rFonts w:ascii="Arial" w:hAnsi="Arial" w:cs="Arial"/>
        </w:rPr>
        <w:t xml:space="preserve"> «Ареал» </w:t>
      </w:r>
      <w:r>
        <w:rPr>
          <w:rFonts w:ascii="Arial" w:hAnsi="Arial" w:cs="Arial"/>
        </w:rPr>
        <w:br/>
        <w:t xml:space="preserve">и ООО СИК «САС». </w:t>
      </w:r>
    </w:p>
    <w:p w:rsidR="00B55D6F" w:rsidRDefault="00B55D6F" w:rsidP="00B55D6F">
      <w:pPr>
        <w:ind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2018 году застройщик ООО «Мастер </w:t>
      </w:r>
      <w:proofErr w:type="spellStart"/>
      <w:r>
        <w:rPr>
          <w:rFonts w:ascii="Arial" w:hAnsi="Arial" w:cs="Arial"/>
        </w:rPr>
        <w:t>Хауз</w:t>
      </w:r>
      <w:proofErr w:type="spellEnd"/>
      <w:r>
        <w:rPr>
          <w:rFonts w:ascii="Arial" w:hAnsi="Arial" w:cs="Arial"/>
        </w:rPr>
        <w:t xml:space="preserve">» начал расселение 6 домов (2,65 тыс. кв. м. – выполнено в 2018 году), подлежащих расселению и сносу </w:t>
      </w:r>
      <w:r>
        <w:rPr>
          <w:rFonts w:ascii="Arial" w:hAnsi="Arial" w:cs="Arial"/>
        </w:rPr>
        <w:br/>
        <w:t xml:space="preserve">в микрорайоне 3-3А г. Люберцы. Завершить расселение 0,67 тыс. кв. м аварийного жилья  планируется в 2019 году. Также в 2019 году за счет муниципального жилого фонда будет расселен аварийный жилой дом </w:t>
      </w:r>
      <w:r>
        <w:rPr>
          <w:rFonts w:ascii="Arial" w:hAnsi="Arial" w:cs="Arial"/>
        </w:rPr>
        <w:br/>
        <w:t xml:space="preserve">по адресу; г. Люберцы, ул. 8 Марта, д.26А площадью 0,40 тыс.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 xml:space="preserve">.  </w:t>
      </w:r>
    </w:p>
    <w:p w:rsidR="00B55D6F" w:rsidRDefault="00B55D6F" w:rsidP="00B55D6F">
      <w:pPr>
        <w:tabs>
          <w:tab w:val="left" w:pos="1134"/>
        </w:tabs>
        <w:ind w:firstLine="708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Всего в 2019 году предусмотрено к строительству 8 пусковых комплексов </w:t>
      </w:r>
    </w:p>
    <w:p w:rsidR="00B55D6F" w:rsidRDefault="00B55D6F" w:rsidP="00B55D6F">
      <w:pPr>
        <w:numPr>
          <w:ilvl w:val="0"/>
          <w:numId w:val="28"/>
        </w:numPr>
        <w:tabs>
          <w:tab w:val="left" w:pos="1134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1 027,5 тыс. </w:t>
      </w:r>
      <w:proofErr w:type="spellStart"/>
      <w:r>
        <w:rPr>
          <w:rFonts w:ascii="Arial" w:eastAsia="MS Mincho" w:hAnsi="Arial" w:cs="Arial"/>
          <w:lang w:eastAsia="ja-JP"/>
        </w:rPr>
        <w:t>кв.м</w:t>
      </w:r>
      <w:proofErr w:type="spellEnd"/>
      <w:r>
        <w:rPr>
          <w:rFonts w:ascii="Arial" w:eastAsia="MS Mincho" w:hAnsi="Arial" w:cs="Arial"/>
          <w:lang w:eastAsia="ja-JP"/>
        </w:rPr>
        <w:t>. жилья,</w:t>
      </w:r>
    </w:p>
    <w:p w:rsidR="00B55D6F" w:rsidRDefault="00B55D6F" w:rsidP="00B55D6F">
      <w:pPr>
        <w:numPr>
          <w:ilvl w:val="0"/>
          <w:numId w:val="28"/>
        </w:numPr>
        <w:tabs>
          <w:tab w:val="left" w:pos="1134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5 школ общее количество мест – 4 950; </w:t>
      </w:r>
    </w:p>
    <w:p w:rsidR="00B55D6F" w:rsidRDefault="00B55D6F" w:rsidP="00B55D6F">
      <w:pPr>
        <w:numPr>
          <w:ilvl w:val="0"/>
          <w:numId w:val="28"/>
        </w:numPr>
        <w:tabs>
          <w:tab w:val="left" w:pos="1134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поликлиника взрослая и детская на 540 посещений в смену;</w:t>
      </w:r>
    </w:p>
    <w:p w:rsidR="00B55D6F" w:rsidRDefault="00B55D6F" w:rsidP="00B55D6F">
      <w:pPr>
        <w:numPr>
          <w:ilvl w:val="0"/>
          <w:numId w:val="28"/>
        </w:numPr>
        <w:tabs>
          <w:tab w:val="left" w:pos="1134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станция скорой помощи на 4 машины.</w:t>
      </w:r>
    </w:p>
    <w:p w:rsidR="00B55D6F" w:rsidRDefault="00B55D6F" w:rsidP="00B55D6F">
      <w:pPr>
        <w:tabs>
          <w:tab w:val="left" w:pos="1134"/>
        </w:tabs>
        <w:ind w:firstLine="709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В период с 2015 по 2018 год </w:t>
      </w:r>
      <w:proofErr w:type="gramStart"/>
      <w:r>
        <w:rPr>
          <w:rFonts w:ascii="Arial" w:eastAsia="MS Mincho" w:hAnsi="Arial" w:cs="Arial"/>
          <w:lang w:eastAsia="ja-JP"/>
        </w:rPr>
        <w:t>сданы</w:t>
      </w:r>
      <w:proofErr w:type="gramEnd"/>
      <w:r>
        <w:rPr>
          <w:rFonts w:ascii="Arial" w:eastAsia="MS Mincho" w:hAnsi="Arial" w:cs="Arial"/>
          <w:lang w:eastAsia="ja-JP"/>
        </w:rPr>
        <w:t xml:space="preserve"> в эксплуатацию 4 пусковых комплекса:</w:t>
      </w:r>
    </w:p>
    <w:p w:rsidR="00B55D6F" w:rsidRDefault="00B55D6F" w:rsidP="00B55D6F">
      <w:pPr>
        <w:numPr>
          <w:ilvl w:val="0"/>
          <w:numId w:val="30"/>
        </w:numPr>
        <w:tabs>
          <w:tab w:val="left" w:pos="1134"/>
        </w:tabs>
        <w:ind w:left="0" w:firstLine="1155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 xml:space="preserve">44 многоэтажных жилых домов общей площадью квартир 607,6 тыс. </w:t>
      </w:r>
      <w:proofErr w:type="spellStart"/>
      <w:r>
        <w:rPr>
          <w:rFonts w:ascii="Arial" w:eastAsia="MS Mincho" w:hAnsi="Arial" w:cs="Arial"/>
          <w:lang w:eastAsia="ja-JP"/>
        </w:rPr>
        <w:t>кв.м</w:t>
      </w:r>
      <w:proofErr w:type="spellEnd"/>
      <w:r>
        <w:rPr>
          <w:rFonts w:ascii="Arial" w:eastAsia="MS Mincho" w:hAnsi="Arial" w:cs="Arial"/>
          <w:lang w:eastAsia="ja-JP"/>
        </w:rPr>
        <w:t xml:space="preserve">., в </w:t>
      </w:r>
      <w:proofErr w:type="spellStart"/>
      <w:r>
        <w:rPr>
          <w:rFonts w:ascii="Arial" w:eastAsia="MS Mincho" w:hAnsi="Arial" w:cs="Arial"/>
          <w:lang w:eastAsia="ja-JP"/>
        </w:rPr>
        <w:t>т</w:t>
      </w:r>
      <w:proofErr w:type="gramStart"/>
      <w:r>
        <w:rPr>
          <w:rFonts w:ascii="Arial" w:eastAsia="MS Mincho" w:hAnsi="Arial" w:cs="Arial"/>
          <w:lang w:eastAsia="ja-JP"/>
        </w:rPr>
        <w:t>.ч</w:t>
      </w:r>
      <w:proofErr w:type="spellEnd"/>
      <w:proofErr w:type="gramEnd"/>
      <w:r>
        <w:rPr>
          <w:rFonts w:ascii="Arial" w:eastAsia="MS Mincho" w:hAnsi="Arial" w:cs="Arial"/>
          <w:lang w:eastAsia="ja-JP"/>
        </w:rPr>
        <w:t xml:space="preserve"> в 2018 году введено 15 домов площадью 148 тыс. </w:t>
      </w:r>
      <w:proofErr w:type="spellStart"/>
      <w:r>
        <w:rPr>
          <w:rFonts w:ascii="Arial" w:eastAsia="MS Mincho" w:hAnsi="Arial" w:cs="Arial"/>
          <w:lang w:eastAsia="ja-JP"/>
        </w:rPr>
        <w:t>кв.м</w:t>
      </w:r>
      <w:proofErr w:type="spellEnd"/>
      <w:r>
        <w:rPr>
          <w:rFonts w:ascii="Arial" w:eastAsia="MS Mincho" w:hAnsi="Arial" w:cs="Arial"/>
          <w:lang w:eastAsia="ja-JP"/>
        </w:rPr>
        <w:t>,</w:t>
      </w:r>
    </w:p>
    <w:p w:rsidR="00B55D6F" w:rsidRDefault="00B55D6F" w:rsidP="00B55D6F">
      <w:pPr>
        <w:numPr>
          <w:ilvl w:val="0"/>
          <w:numId w:val="30"/>
        </w:numPr>
        <w:tabs>
          <w:tab w:val="left" w:pos="1134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 2 детских сада по 250 мест каждый</w:t>
      </w:r>
    </w:p>
    <w:p w:rsidR="00B55D6F" w:rsidRDefault="00B55D6F" w:rsidP="00B55D6F">
      <w:pPr>
        <w:numPr>
          <w:ilvl w:val="0"/>
          <w:numId w:val="30"/>
        </w:numPr>
        <w:tabs>
          <w:tab w:val="left" w:pos="1134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школа на 1100 мест.</w:t>
      </w:r>
    </w:p>
    <w:p w:rsidR="00B55D6F" w:rsidRDefault="00B55D6F" w:rsidP="00B55D6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Предоставлена в аренду земля под строительство домов, в которых предоставят жилье 50 «обманутым дольщикам» из </w:t>
      </w:r>
      <w:proofErr w:type="gramStart"/>
      <w:r>
        <w:rPr>
          <w:rFonts w:ascii="Arial" w:hAnsi="Arial" w:cs="Arial"/>
        </w:rPr>
        <w:t>Октябрьского</w:t>
      </w:r>
      <w:proofErr w:type="gramEnd"/>
      <w:r>
        <w:rPr>
          <w:rFonts w:ascii="Arial" w:hAnsi="Arial" w:cs="Arial"/>
        </w:rPr>
        <w:t xml:space="preserve">: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20 квартир в доме по адресу: п. Октябрьский, ул. Новая, д. 5А (застройщик ООО «КИТ»);</w:t>
      </w:r>
      <w:proofErr w:type="gramEnd"/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30 квартир в доме по адресу: п. Октябрьский, ул. Первомайская, д.20/1 (застройщик ООО «Дружба-Центр», достраивает компания «Ареал»). </w:t>
      </w:r>
      <w:proofErr w:type="gramEnd"/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2019 году откроется депо на 4 </w:t>
      </w:r>
      <w:proofErr w:type="spellStart"/>
      <w:r>
        <w:rPr>
          <w:rFonts w:ascii="Arial" w:hAnsi="Arial" w:cs="Arial"/>
        </w:rPr>
        <w:t>машино</w:t>
      </w:r>
      <w:proofErr w:type="spellEnd"/>
      <w:r>
        <w:rPr>
          <w:rFonts w:ascii="Arial" w:hAnsi="Arial" w:cs="Arial"/>
        </w:rPr>
        <w:t xml:space="preserve">-места в </w:t>
      </w:r>
      <w:proofErr w:type="spellStart"/>
      <w:r>
        <w:rPr>
          <w:rFonts w:ascii="Arial" w:hAnsi="Arial" w:cs="Arial"/>
        </w:rPr>
        <w:t>Малаховке</w:t>
      </w:r>
      <w:proofErr w:type="spellEnd"/>
      <w:r>
        <w:rPr>
          <w:rFonts w:ascii="Arial" w:hAnsi="Arial" w:cs="Arial"/>
        </w:rPr>
        <w:t xml:space="preserve">, в 2020 году –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Октябрьском.  </w:t>
      </w:r>
    </w:p>
    <w:p w:rsidR="00B55D6F" w:rsidRDefault="00B55D6F" w:rsidP="00B55D6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программе «Чистая вода» установлена станция обезжелезивания </w:t>
      </w:r>
      <w:r>
        <w:rPr>
          <w:rFonts w:ascii="Arial" w:hAnsi="Arial" w:cs="Arial"/>
        </w:rPr>
        <w:br/>
        <w:t xml:space="preserve">на ВЗУ-12 в </w:t>
      </w:r>
      <w:proofErr w:type="spellStart"/>
      <w:r>
        <w:rPr>
          <w:rFonts w:ascii="Arial" w:hAnsi="Arial" w:cs="Arial"/>
        </w:rPr>
        <w:t>Малаховке</w:t>
      </w:r>
      <w:proofErr w:type="spellEnd"/>
      <w:r>
        <w:rPr>
          <w:rFonts w:ascii="Arial" w:hAnsi="Arial" w:cs="Arial"/>
        </w:rPr>
        <w:t xml:space="preserve">. Качественной водой обеспечены 15 тысяч жителей, промышленные и социальные объекты, в том числе поликлиника, 3 школы             и 3 детских сада. 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Полностью переведены на московскую воду два ВЗУ в Люберцах. Объем поставляемой московской воды увеличен на 3,5 тыс. куб. м в сутки.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2019 году планируется реконструкция ВЗУ-7 на Октябрьском проспекте с установкой блока умягчения воды и реконструкцией сетей. На ВЗУ в поселке </w:t>
      </w:r>
      <w:proofErr w:type="gramStart"/>
      <w:r>
        <w:rPr>
          <w:rFonts w:ascii="Arial" w:hAnsi="Arial" w:cs="Arial"/>
        </w:rPr>
        <w:t>Октябрьский</w:t>
      </w:r>
      <w:proofErr w:type="gramEnd"/>
      <w:r>
        <w:rPr>
          <w:rFonts w:ascii="Arial" w:hAnsi="Arial" w:cs="Arial"/>
        </w:rPr>
        <w:t xml:space="preserve"> планируется установка блока обезжелезивания воды.  ВЗУ обеспечивает водой 22,5 тысячи человек.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«Люберецкой теплосетью» в 2018 году проведен текущий ремонт </w:t>
      </w:r>
      <w:r>
        <w:rPr>
          <w:rFonts w:ascii="Arial" w:hAnsi="Arial" w:cs="Arial"/>
        </w:rPr>
        <w:br/>
        <w:t xml:space="preserve">16 котельных. 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2018 году по программе «Светлый город» проведена реконструкция наружного освещения шести центральных улиц п.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, проведена замена проводов и 223 светильников на светодиодные, замена опоры освещения и установка 188 дополнительных опор. На парковочных местах оборудовано 18 «умных опор», которые позволяют подзарядить электромобиль и другое электрооборудование. 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На 2019 год определены 26 территорий, требующих первоочередного освещения.</w:t>
      </w:r>
      <w:proofErr w:type="gramEnd"/>
    </w:p>
    <w:p w:rsidR="00B55D6F" w:rsidRDefault="00B55D6F" w:rsidP="00B55D6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Разработаны Схемы теплоснабжения, водоснабжения и водоотведения городского округа.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конца 2017 года на территории городского округа Люберцы действует Единая служба ЖКХ. ЕДС ЖКХ позволяет осуществлять </w:t>
      </w:r>
      <w:proofErr w:type="gramStart"/>
      <w:r>
        <w:rPr>
          <w:rFonts w:ascii="Arial" w:hAnsi="Arial" w:cs="Arial"/>
        </w:rPr>
        <w:t xml:space="preserve">контроль </w:t>
      </w:r>
      <w:r>
        <w:rPr>
          <w:rFonts w:ascii="Arial" w:hAnsi="Arial" w:cs="Arial"/>
        </w:rPr>
        <w:br/>
        <w:t>за</w:t>
      </w:r>
      <w:proofErr w:type="gramEnd"/>
      <w:r>
        <w:rPr>
          <w:rFonts w:ascii="Arial" w:hAnsi="Arial" w:cs="Arial"/>
        </w:rPr>
        <w:t xml:space="preserve"> выполнением управляющими организациями заявок, поступающих </w:t>
      </w:r>
      <w:r>
        <w:rPr>
          <w:rFonts w:ascii="Arial" w:hAnsi="Arial" w:cs="Arial"/>
        </w:rPr>
        <w:br/>
        <w:t xml:space="preserve">от жителей. С 01.01.2018 года в службу ЕДС ЖКХ поступило </w:t>
      </w:r>
      <w:r>
        <w:rPr>
          <w:rFonts w:ascii="Arial" w:hAnsi="Arial" w:cs="Arial"/>
        </w:rPr>
        <w:br/>
        <w:t>179 037 обращений (более 19 800 обращений ежемесячно).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Создание службы ЕДС ЖКХ и ее интеграция с МКУ ЕДДС 112 позволила создать на территории городского округа Единый канал связи </w:t>
      </w:r>
      <w:r>
        <w:rPr>
          <w:rFonts w:ascii="Arial" w:hAnsi="Arial" w:cs="Arial"/>
        </w:rPr>
        <w:br/>
        <w:t xml:space="preserve">по вопросам жилищно-коммунального хозяйства с возможностью жителям оформить заявку с последующим </w:t>
      </w:r>
      <w:proofErr w:type="gramStart"/>
      <w:r>
        <w:rPr>
          <w:rFonts w:ascii="Arial" w:hAnsi="Arial" w:cs="Arial"/>
        </w:rPr>
        <w:t>контролем за</w:t>
      </w:r>
      <w:proofErr w:type="gramEnd"/>
      <w:r>
        <w:rPr>
          <w:rFonts w:ascii="Arial" w:hAnsi="Arial" w:cs="Arial"/>
        </w:rPr>
        <w:t xml:space="preserve"> ходом ее выполнения </w:t>
      </w:r>
      <w:r>
        <w:rPr>
          <w:rFonts w:ascii="Arial" w:hAnsi="Arial" w:cs="Arial"/>
        </w:rPr>
        <w:br/>
        <w:t>в установленные сроки.</w:t>
      </w:r>
    </w:p>
    <w:p w:rsidR="00B55D6F" w:rsidRDefault="00B55D6F" w:rsidP="00B55D6F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 период 2015-2019 года комплексно благоустроили 305 дворовых территорий, установили 541 детскую и 358 спортивных площадок. В том числе в 2018 году благоустроено 68 дворов, установлено 65 детских и 57 спортивных площадок. </w:t>
      </w:r>
    </w:p>
    <w:p w:rsidR="00B55D6F" w:rsidRDefault="00B55D6F" w:rsidP="00B55D6F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2019 год запланировано благоустройство 68 дворовых территорий. В том числе: 43 – в Люберцах, 6 - в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, 7- в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, 7 -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Октябрьском,</w:t>
      </w:r>
      <w:r>
        <w:rPr>
          <w:rFonts w:ascii="Arial" w:hAnsi="Arial" w:cs="Arial"/>
        </w:rPr>
        <w:br/>
        <w:t xml:space="preserve">5 - в </w:t>
      </w:r>
      <w:proofErr w:type="spellStart"/>
      <w:r>
        <w:rPr>
          <w:rFonts w:ascii="Arial" w:hAnsi="Arial" w:cs="Arial"/>
        </w:rPr>
        <w:t>Малаховке</w:t>
      </w:r>
      <w:proofErr w:type="spellEnd"/>
      <w:r>
        <w:rPr>
          <w:rFonts w:ascii="Arial" w:hAnsi="Arial" w:cs="Arial"/>
        </w:rPr>
        <w:t>,.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Реконструкция «Центрального парка культуры и отдыха» началась </w:t>
      </w:r>
      <w:r>
        <w:rPr>
          <w:rFonts w:ascii="Arial" w:hAnsi="Arial" w:cs="Arial"/>
        </w:rPr>
        <w:br/>
        <w:t xml:space="preserve">в 2017 году, были установлены цветочные клумбы общей площадью </w:t>
      </w:r>
      <w:r>
        <w:rPr>
          <w:rFonts w:ascii="Arial" w:hAnsi="Arial" w:cs="Arial"/>
        </w:rPr>
        <w:br/>
        <w:t xml:space="preserve">750 квадратных метров, посажены 197 деревьев, высажены </w:t>
      </w:r>
      <w:proofErr w:type="gramStart"/>
      <w:r>
        <w:rPr>
          <w:rFonts w:ascii="Arial" w:hAnsi="Arial" w:cs="Arial"/>
        </w:rPr>
        <w:t>более тысячи кустарников</w:t>
      </w:r>
      <w:proofErr w:type="gramEnd"/>
      <w:r>
        <w:rPr>
          <w:rFonts w:ascii="Arial" w:hAnsi="Arial" w:cs="Arial"/>
        </w:rPr>
        <w:t>. Установлены детские и спортивные площадки. В 2019 году установлен фонтан.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благоустройства дворовой территории в 2018 году был установлен памятник советскому истребителю МиГ-29, обустроена пешеходная зона по Проспекту </w:t>
      </w:r>
      <w:r>
        <w:rPr>
          <w:rFonts w:ascii="Arial" w:hAnsi="Arial" w:cs="Arial"/>
        </w:rPr>
        <w:lastRenderedPageBreak/>
        <w:t xml:space="preserve">Победы. В 2019 году запланированы работы                                  по благоустройству улицы </w:t>
      </w:r>
      <w:proofErr w:type="gramStart"/>
      <w:r>
        <w:rPr>
          <w:rFonts w:ascii="Arial" w:hAnsi="Arial" w:cs="Arial"/>
        </w:rPr>
        <w:t>Звуковая</w:t>
      </w:r>
      <w:proofErr w:type="gramEnd"/>
      <w:r>
        <w:rPr>
          <w:rFonts w:ascii="Arial" w:hAnsi="Arial" w:cs="Arial"/>
        </w:rPr>
        <w:t xml:space="preserve">. 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2019 году запланировано благоустройство зон семейного отдыха                   и досуга жителей «</w:t>
      </w:r>
      <w:proofErr w:type="spellStart"/>
      <w:r>
        <w:rPr>
          <w:rFonts w:ascii="Arial" w:hAnsi="Arial" w:cs="Arial"/>
        </w:rPr>
        <w:t>Малаховское</w:t>
      </w:r>
      <w:proofErr w:type="spellEnd"/>
      <w:r>
        <w:rPr>
          <w:rFonts w:ascii="Arial" w:hAnsi="Arial" w:cs="Arial"/>
        </w:rPr>
        <w:t xml:space="preserve"> озеро» и «</w:t>
      </w:r>
      <w:proofErr w:type="spellStart"/>
      <w:r>
        <w:rPr>
          <w:rFonts w:ascii="Arial" w:hAnsi="Arial" w:cs="Arial"/>
        </w:rPr>
        <w:t>Кореневский</w:t>
      </w:r>
      <w:proofErr w:type="spellEnd"/>
      <w:r>
        <w:rPr>
          <w:rFonts w:ascii="Arial" w:hAnsi="Arial" w:cs="Arial"/>
        </w:rPr>
        <w:t xml:space="preserve"> карьер».</w:t>
      </w:r>
    </w:p>
    <w:p w:rsidR="00B55D6F" w:rsidRDefault="00B55D6F" w:rsidP="00B55D6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2018 году разработана концепция единого стиля городского округа Люберцы. В целях ее реализации поданы заявки на включение работ                       по благоустройству городских улиц в государственную программу.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Дороги, транспорт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bookmarkStart w:id="40" w:name="OLE_LINK150"/>
      <w:bookmarkStart w:id="41" w:name="OLE_LINK149"/>
      <w:bookmarkStart w:id="42" w:name="OLE_LINK148"/>
      <w:r>
        <w:rPr>
          <w:rFonts w:ascii="Arial" w:hAnsi="Arial" w:cs="Arial"/>
        </w:rPr>
        <w:t xml:space="preserve">Протяженность автомобильных дорог городского округа Люберцы </w:t>
      </w:r>
      <w:r>
        <w:rPr>
          <w:rFonts w:ascii="Arial" w:hAnsi="Arial" w:cs="Arial"/>
        </w:rPr>
        <w:br/>
        <w:t xml:space="preserve">314,8 км. В том числе с твердым покрытием – 212,9 км, и них </w:t>
      </w:r>
      <w:r>
        <w:rPr>
          <w:rFonts w:ascii="Arial" w:hAnsi="Arial" w:cs="Arial"/>
        </w:rPr>
        <w:br/>
        <w:t>с усовершенствованным покрытием 210,4 км.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связи с высокой плотностью населения, нагрузка на дороги превышает </w:t>
      </w:r>
      <w:proofErr w:type="gramStart"/>
      <w:r>
        <w:rPr>
          <w:rFonts w:ascii="Arial" w:hAnsi="Arial" w:cs="Arial"/>
        </w:rPr>
        <w:t>нормативную</w:t>
      </w:r>
      <w:proofErr w:type="gramEnd"/>
      <w:r>
        <w:rPr>
          <w:rFonts w:ascii="Arial" w:hAnsi="Arial" w:cs="Arial"/>
        </w:rPr>
        <w:t xml:space="preserve"> в 2,8 раза. В среднем плановая пропускная способность муниципальных дорог составляет 600 автомобилей в час, фактическая </w:t>
      </w:r>
      <w:r>
        <w:rPr>
          <w:rFonts w:ascii="Arial" w:hAnsi="Arial" w:cs="Arial"/>
        </w:rPr>
        <w:br/>
        <w:t>же загрузка 1680 машин в час, в связи с этим на прогнозный период                           в городском округе Люберцы планируется:</w:t>
      </w:r>
    </w:p>
    <w:bookmarkEnd w:id="40"/>
    <w:bookmarkEnd w:id="41"/>
    <w:bookmarkEnd w:id="42"/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реконструкция </w:t>
      </w:r>
      <w:proofErr w:type="spellStart"/>
      <w:r>
        <w:rPr>
          <w:rFonts w:ascii="Arial" w:hAnsi="Arial" w:cs="Arial"/>
        </w:rPr>
        <w:t>Зенинского</w:t>
      </w:r>
      <w:proofErr w:type="spellEnd"/>
      <w:r>
        <w:rPr>
          <w:rFonts w:ascii="Arial" w:hAnsi="Arial" w:cs="Arial"/>
        </w:rPr>
        <w:t xml:space="preserve"> шоссе, с устройством кругового движения, реконструкцией мостового и дорожного полотна; 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реконструкция Октябрьского проспекта, которая будет проводиться в 5 этапов и завершится к 2025 году. По итогу пропускная способность составит 115 тысяч машин в сутки. В рамках реконструкции будет установлено: 9 подземных пешеходных переходов, расширение дорожного полотна </w:t>
      </w:r>
      <w:r>
        <w:rPr>
          <w:rFonts w:ascii="Arial" w:hAnsi="Arial" w:cs="Arial"/>
        </w:rPr>
        <w:br/>
        <w:t xml:space="preserve">до 6 полос, строительство мостового сооружения от ул. Власова до остановки Мальчики; 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расширение федеральной трассы М-5 Урал со строительством </w:t>
      </w:r>
      <w:r>
        <w:rPr>
          <w:rFonts w:ascii="Arial" w:hAnsi="Arial" w:cs="Arial"/>
        </w:rPr>
        <w:br/>
        <w:t xml:space="preserve">1-го надземного и 5-ти подземных пешеходных переходов, увеличением количества полос с 6-ти до 10-ти, установка </w:t>
      </w:r>
      <w:proofErr w:type="spellStart"/>
      <w:r>
        <w:rPr>
          <w:rFonts w:ascii="Arial" w:hAnsi="Arial" w:cs="Arial"/>
        </w:rPr>
        <w:t>шумозащитных</w:t>
      </w:r>
      <w:proofErr w:type="spellEnd"/>
      <w:r>
        <w:rPr>
          <w:rFonts w:ascii="Arial" w:hAnsi="Arial" w:cs="Arial"/>
        </w:rPr>
        <w:t xml:space="preserve"> экранов; 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строительство объездной дороги в объезд поселка Октябрьский, предполагающее строительство моста через реку Москва, путепровода, транспортной развязки в районе населенного пункта </w:t>
      </w:r>
      <w:proofErr w:type="spellStart"/>
      <w:r>
        <w:rPr>
          <w:rFonts w:ascii="Arial" w:hAnsi="Arial" w:cs="Arial"/>
        </w:rPr>
        <w:t>Чулково</w:t>
      </w:r>
      <w:proofErr w:type="spell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приемка бесхозяйных автомобильных дорог местного значения </w:t>
      </w:r>
      <w:r>
        <w:rPr>
          <w:rFonts w:ascii="Arial" w:hAnsi="Arial" w:cs="Arial"/>
        </w:rPr>
        <w:br/>
        <w:t>в муниципальную собственность протяженностью 2,42 км;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капитальный ремонт подъездных автомобильных дорог к СНТ общей протяженностью 4,27 км;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строительство подъездной дороги к ЖК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 - 2018, окончание работ 2021 год;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строительство автомобильной дороги, соединяющей </w:t>
      </w:r>
      <w:r>
        <w:rPr>
          <w:rFonts w:ascii="Arial" w:hAnsi="Arial" w:cs="Arial"/>
        </w:rPr>
        <w:br/>
        <w:t>ЖК «</w:t>
      </w:r>
      <w:proofErr w:type="spellStart"/>
      <w:r>
        <w:rPr>
          <w:rFonts w:ascii="Arial" w:hAnsi="Arial" w:cs="Arial"/>
        </w:rPr>
        <w:t>Кореневский</w:t>
      </w:r>
      <w:proofErr w:type="spellEnd"/>
      <w:r>
        <w:rPr>
          <w:rFonts w:ascii="Arial" w:hAnsi="Arial" w:cs="Arial"/>
        </w:rPr>
        <w:t xml:space="preserve"> Форт 2.2» с другими жилыми комплексами;</w:t>
      </w:r>
    </w:p>
    <w:p w:rsidR="00B55D6F" w:rsidRDefault="00B55D6F" w:rsidP="00B55D6F">
      <w:pPr>
        <w:numPr>
          <w:ilvl w:val="0"/>
          <w:numId w:val="3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реконструкция временного мостового сооружения </w:t>
      </w:r>
      <w:r>
        <w:rPr>
          <w:rFonts w:ascii="Arial" w:hAnsi="Arial" w:cs="Arial"/>
        </w:rPr>
        <w:br/>
        <w:t xml:space="preserve">на </w:t>
      </w:r>
      <w:proofErr w:type="spellStart"/>
      <w:r>
        <w:rPr>
          <w:rFonts w:ascii="Arial" w:hAnsi="Arial" w:cs="Arial"/>
        </w:rPr>
        <w:t>Лыткаринском</w:t>
      </w:r>
      <w:proofErr w:type="spellEnd"/>
      <w:r>
        <w:rPr>
          <w:rFonts w:ascii="Arial" w:hAnsi="Arial" w:cs="Arial"/>
        </w:rPr>
        <w:t xml:space="preserve"> шоссе.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 2018 год отремонтировали 66 дорог, общей протяженностью 59,2 км: 25 – в Люберцах, 9 - в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, 7 - в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, 7 -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Октябрьском, </w:t>
      </w:r>
      <w:r>
        <w:rPr>
          <w:rFonts w:ascii="Arial" w:hAnsi="Arial" w:cs="Arial"/>
        </w:rPr>
        <w:br/>
        <w:t xml:space="preserve">18 - в </w:t>
      </w:r>
      <w:proofErr w:type="spellStart"/>
      <w:r>
        <w:rPr>
          <w:rFonts w:ascii="Arial" w:hAnsi="Arial" w:cs="Arial"/>
        </w:rPr>
        <w:t>Малаховке</w:t>
      </w:r>
      <w:proofErr w:type="spellEnd"/>
      <w:r>
        <w:rPr>
          <w:rFonts w:ascii="Arial" w:hAnsi="Arial" w:cs="Arial"/>
        </w:rPr>
        <w:t>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2018 году произведена замена 46 остановочных павильонов на местных и региональных дорогах. Кроме этого, отремонтирован 41 тротуар </w:t>
      </w:r>
      <w:r>
        <w:rPr>
          <w:rFonts w:ascii="Arial" w:hAnsi="Arial" w:cs="Arial"/>
        </w:rPr>
        <w:br/>
        <w:t xml:space="preserve">и </w:t>
      </w:r>
      <w:proofErr w:type="gramStart"/>
      <w:r>
        <w:rPr>
          <w:rFonts w:ascii="Arial" w:hAnsi="Arial" w:cs="Arial"/>
        </w:rPr>
        <w:t>обустроены</w:t>
      </w:r>
      <w:proofErr w:type="gramEnd"/>
      <w:r>
        <w:rPr>
          <w:rFonts w:ascii="Arial" w:hAnsi="Arial" w:cs="Arial"/>
        </w:rPr>
        <w:t xml:space="preserve"> еще 5 новых тротуаров. Ликвидировано более 2,5 тысяч ям. Регулярно проводятся рейды по ликвидации незаконных парковок на газонах </w:t>
      </w:r>
      <w:r>
        <w:rPr>
          <w:rFonts w:ascii="Arial" w:hAnsi="Arial" w:cs="Arial"/>
        </w:rPr>
        <w:br/>
        <w:t>и тротуарах вдоль дорог. Эвакуировано более 1000 автомобилей и наложено штрафов на общую сумму более 4 млн. руб.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2018 году в рамках программы «Комфортный автобус» весь подвижной состав на муниципальных маршрутах приведен к четкому стандарту: возраст автобусов малого класса не превышает 5 лет, большого класса – 7 лет. Во всех автобусах можно </w:t>
      </w:r>
      <w:proofErr w:type="spellStart"/>
      <w:r>
        <w:rPr>
          <w:rFonts w:ascii="Arial" w:hAnsi="Arial" w:cs="Arial"/>
        </w:rPr>
        <w:t>безналично</w:t>
      </w:r>
      <w:proofErr w:type="spellEnd"/>
      <w:r>
        <w:rPr>
          <w:rFonts w:ascii="Arial" w:hAnsi="Arial" w:cs="Arial"/>
        </w:rPr>
        <w:t xml:space="preserve"> оплатить проезд картой «Стрелкой».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На маршруте № 888 увеличена вместимость автобусов с малого класса </w:t>
      </w:r>
      <w:r>
        <w:rPr>
          <w:rFonts w:ascii="Arial" w:hAnsi="Arial" w:cs="Arial"/>
        </w:rPr>
        <w:br/>
        <w:t xml:space="preserve">до среднего.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Увеличено количество и вместимость автобусов на маршруте № 31, планируется продление его до станции метро «</w:t>
      </w:r>
      <w:proofErr w:type="spellStart"/>
      <w:r>
        <w:rPr>
          <w:rFonts w:ascii="Arial" w:hAnsi="Arial" w:cs="Arial"/>
        </w:rPr>
        <w:t>Некрасовка</w:t>
      </w:r>
      <w:proofErr w:type="spellEnd"/>
      <w:r>
        <w:rPr>
          <w:rFonts w:ascii="Arial" w:hAnsi="Arial" w:cs="Arial"/>
        </w:rPr>
        <w:t>».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Внедрена система </w:t>
      </w:r>
      <w:proofErr w:type="spellStart"/>
      <w:r>
        <w:rPr>
          <w:rFonts w:ascii="Arial" w:hAnsi="Arial" w:cs="Arial"/>
        </w:rPr>
        <w:t>видеофиксации</w:t>
      </w:r>
      <w:proofErr w:type="spellEnd"/>
      <w:r>
        <w:rPr>
          <w:rFonts w:ascii="Arial" w:hAnsi="Arial" w:cs="Arial"/>
        </w:rPr>
        <w:t xml:space="preserve"> и контроля, которая в режиме реального времени позволяет контролировать работу перевозчика: соблюдение расписания и движения по маршрутам, скоростной режим транспорта, чистоту в салоне. 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Изменены схемы движения четырех муниципальных маршрутов транспорта:  </w:t>
      </w:r>
    </w:p>
    <w:p w:rsidR="00B55D6F" w:rsidRDefault="00B55D6F" w:rsidP="00B55D6F">
      <w:pPr>
        <w:numPr>
          <w:ilvl w:val="0"/>
          <w:numId w:val="34"/>
        </w:numPr>
        <w:ind w:left="0"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маршрут № 15 продлен до улиц Юности и Весенней;</w:t>
      </w:r>
    </w:p>
    <w:p w:rsidR="00B55D6F" w:rsidRDefault="00B55D6F" w:rsidP="00B55D6F">
      <w:pPr>
        <w:numPr>
          <w:ilvl w:val="0"/>
          <w:numId w:val="34"/>
        </w:numPr>
        <w:ind w:left="0"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маршрут № 16 продлен до улиц Камова и </w:t>
      </w:r>
      <w:proofErr w:type="gramStart"/>
      <w:r>
        <w:rPr>
          <w:rFonts w:ascii="Arial" w:hAnsi="Arial" w:cs="Arial"/>
        </w:rPr>
        <w:t>Озерной</w:t>
      </w:r>
      <w:proofErr w:type="gramEnd"/>
      <w:r>
        <w:rPr>
          <w:rFonts w:ascii="Arial" w:hAnsi="Arial" w:cs="Arial"/>
        </w:rPr>
        <w:t>;</w:t>
      </w:r>
    </w:p>
    <w:p w:rsidR="00B55D6F" w:rsidRDefault="00B55D6F" w:rsidP="00B55D6F">
      <w:pPr>
        <w:numPr>
          <w:ilvl w:val="0"/>
          <w:numId w:val="34"/>
        </w:numPr>
        <w:ind w:left="0"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маршрут № 57 продлен до метро «Котельники» с заходом </w:t>
      </w:r>
      <w:r>
        <w:rPr>
          <w:rFonts w:ascii="Arial" w:hAnsi="Arial" w:cs="Arial"/>
        </w:rPr>
        <w:br/>
        <w:t>в ЖК «Самолет-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», увеличено число автобусов с 10 до 15. </w:t>
      </w:r>
    </w:p>
    <w:p w:rsidR="00B55D6F" w:rsidRDefault="00B55D6F" w:rsidP="00B55D6F">
      <w:pPr>
        <w:numPr>
          <w:ilvl w:val="0"/>
          <w:numId w:val="34"/>
        </w:numPr>
        <w:ind w:left="0"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удобства жителей этого жилого комплекса еще внесены изменения в маршрут № 10.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Открыты маршруты:</w:t>
      </w:r>
    </w:p>
    <w:p w:rsidR="00B55D6F" w:rsidRDefault="00B55D6F" w:rsidP="00B55D6F">
      <w:pPr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№ 1121к от д. </w:t>
      </w:r>
      <w:proofErr w:type="spellStart"/>
      <w:r>
        <w:rPr>
          <w:rFonts w:ascii="Arial" w:hAnsi="Arial" w:cs="Arial"/>
        </w:rPr>
        <w:t>Мотяково</w:t>
      </w:r>
      <w:proofErr w:type="spellEnd"/>
      <w:r>
        <w:rPr>
          <w:rFonts w:ascii="Arial" w:hAnsi="Arial" w:cs="Arial"/>
        </w:rPr>
        <w:t xml:space="preserve"> до метро «Люблино»</w:t>
      </w:r>
    </w:p>
    <w:p w:rsidR="00B55D6F" w:rsidRDefault="00B55D6F" w:rsidP="00B55D6F">
      <w:pPr>
        <w:numPr>
          <w:ilvl w:val="0"/>
          <w:numId w:val="3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и № 1183 от ЖК «Красная горка» до метро «Выхино».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2019 году маршруты № 11 и 78 стали социальными, на каждом из них работают по 3 автобуса малого класса.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Прорабатываются схемы новых маршрутов до станций метро «</w:t>
      </w:r>
      <w:proofErr w:type="spellStart"/>
      <w:r>
        <w:rPr>
          <w:rFonts w:ascii="Arial" w:hAnsi="Arial" w:cs="Arial"/>
        </w:rPr>
        <w:t>Лухмановская</w:t>
      </w:r>
      <w:proofErr w:type="spellEnd"/>
      <w:r>
        <w:rPr>
          <w:rFonts w:ascii="Arial" w:hAnsi="Arial" w:cs="Arial"/>
        </w:rPr>
        <w:t>» и «</w:t>
      </w:r>
      <w:proofErr w:type="spellStart"/>
      <w:r>
        <w:rPr>
          <w:rFonts w:ascii="Arial" w:hAnsi="Arial" w:cs="Arial"/>
        </w:rPr>
        <w:t>Некрасовка</w:t>
      </w:r>
      <w:proofErr w:type="spellEnd"/>
      <w:r>
        <w:rPr>
          <w:rFonts w:ascii="Arial" w:hAnsi="Arial" w:cs="Arial"/>
        </w:rPr>
        <w:t xml:space="preserve">».  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2018 году установлено:</w:t>
      </w:r>
    </w:p>
    <w:p w:rsidR="00B55D6F" w:rsidRDefault="00B55D6F" w:rsidP="00B55D6F">
      <w:pPr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325 дорожных знаков и 148 стоек;</w:t>
      </w:r>
    </w:p>
    <w:p w:rsidR="00B55D6F" w:rsidRDefault="00B55D6F" w:rsidP="00B55D6F">
      <w:pPr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241 «искусственная неровность»;</w:t>
      </w:r>
    </w:p>
    <w:p w:rsidR="00B55D6F" w:rsidRDefault="00B55D6F" w:rsidP="00B55D6F">
      <w:pPr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22 светофорных объектов;</w:t>
      </w:r>
    </w:p>
    <w:p w:rsidR="00B55D6F" w:rsidRDefault="00B55D6F" w:rsidP="00B55D6F">
      <w:pPr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350 погонных метров дорожных ограждений;</w:t>
      </w:r>
    </w:p>
    <w:p w:rsidR="00B55D6F" w:rsidRDefault="00B55D6F" w:rsidP="00B55D6F">
      <w:pPr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обустроен надземный пешеходный переход в п. Октябрьский через </w:t>
      </w:r>
      <w:proofErr w:type="spellStart"/>
      <w:r>
        <w:rPr>
          <w:rFonts w:ascii="Arial" w:hAnsi="Arial" w:cs="Arial"/>
        </w:rPr>
        <w:t>Новорязанское</w:t>
      </w:r>
      <w:proofErr w:type="spellEnd"/>
      <w:r>
        <w:rPr>
          <w:rFonts w:ascii="Arial" w:hAnsi="Arial" w:cs="Arial"/>
        </w:rPr>
        <w:t xml:space="preserve"> шоссе;</w:t>
      </w:r>
    </w:p>
    <w:p w:rsidR="00B55D6F" w:rsidRDefault="00B55D6F" w:rsidP="00B55D6F">
      <w:pPr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 ремонт более километра перильного пешеходного ограждения;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Прибыль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Количество организаций, не относящихся к субъектам малого предпринимательства, получивших прибыль за 2018, составило 73 единицы, </w:t>
      </w:r>
      <w:r>
        <w:rPr>
          <w:rFonts w:ascii="Arial" w:hAnsi="Arial" w:cs="Arial"/>
        </w:rPr>
        <w:br/>
        <w:t>за 2017 год - 77 единиц. Удельный вес прибыльных организаций в их общем числе составил в 2018 году 73,0%, в 2017 году составляет 78,57 %.Снижение темпов роста прибыли организаций связано с текущим финансовым состоянием организаций. Убытки показали такие организации как: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АО «ХЕЛИВЕРТ» (убыток по итогам 2018 года составил 208,00 млн. руб., при этом в 2017 году прибыль в размере 371,5 млн. рублей);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«ЭССЕЛ ПРОПАК» (убыток по итогам 2018 года составил </w:t>
      </w:r>
      <w:r>
        <w:rPr>
          <w:rFonts w:ascii="Arial" w:hAnsi="Arial" w:cs="Arial"/>
        </w:rPr>
        <w:br/>
        <w:t>36 млн. руб.);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«ОЕРЛИКОН МЕТКО РУС» (убыток по итогам составил </w:t>
      </w:r>
      <w:r>
        <w:rPr>
          <w:rFonts w:ascii="Arial" w:hAnsi="Arial" w:cs="Arial"/>
        </w:rPr>
        <w:br/>
        <w:t>19 млн. руб., при этом в 2017 году - прибыль, в размере 1,5 млн. рублей;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«Самолет </w:t>
      </w:r>
      <w:proofErr w:type="spellStart"/>
      <w:r>
        <w:rPr>
          <w:rFonts w:ascii="Arial" w:hAnsi="Arial" w:cs="Arial"/>
        </w:rPr>
        <w:t>Девелопмент</w:t>
      </w:r>
      <w:proofErr w:type="spellEnd"/>
      <w:r>
        <w:rPr>
          <w:rFonts w:ascii="Arial" w:hAnsi="Arial" w:cs="Arial"/>
        </w:rPr>
        <w:t xml:space="preserve">», ООО «Самолет - </w:t>
      </w:r>
      <w:proofErr w:type="spellStart"/>
      <w:r>
        <w:rPr>
          <w:rFonts w:ascii="Arial" w:hAnsi="Arial" w:cs="Arial"/>
        </w:rPr>
        <w:t>Путилково</w:t>
      </w:r>
      <w:proofErr w:type="spellEnd"/>
      <w:r>
        <w:rPr>
          <w:rFonts w:ascii="Arial" w:hAnsi="Arial" w:cs="Arial"/>
        </w:rPr>
        <w:t xml:space="preserve">», </w:t>
      </w:r>
      <w:r>
        <w:rPr>
          <w:rFonts w:ascii="Arial" w:hAnsi="Arial" w:cs="Arial"/>
        </w:rPr>
        <w:br/>
        <w:t xml:space="preserve">ООО «Самолет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», входящие в состав ГК «Самолет» показывают </w:t>
      </w:r>
      <w:r>
        <w:rPr>
          <w:rFonts w:ascii="Arial" w:hAnsi="Arial" w:cs="Arial"/>
        </w:rPr>
        <w:br/>
        <w:t xml:space="preserve">по итогам деятельности убыток, в размере 900 млн. руб., за аналогичный период 2017 года данные компании имели прибыль в размере более </w:t>
      </w:r>
      <w:r>
        <w:rPr>
          <w:rFonts w:ascii="Arial" w:hAnsi="Arial" w:cs="Arial"/>
        </w:rPr>
        <w:br/>
        <w:t>2 млрд. рублей;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«Кондитерская фабрика «Волшебница» - производство шоколада </w:t>
      </w:r>
      <w:r>
        <w:rPr>
          <w:rFonts w:ascii="Arial" w:hAnsi="Arial" w:cs="Arial"/>
        </w:rPr>
        <w:br/>
        <w:t xml:space="preserve">и сахаристых кондитерских изделий (10.82.2) - убыток 54,7 млн. руб., </w:t>
      </w:r>
      <w:r>
        <w:rPr>
          <w:rFonts w:ascii="Arial" w:hAnsi="Arial" w:cs="Arial"/>
        </w:rPr>
        <w:br/>
        <w:t>в 2017 году прибыль в размере 7 млн. рублей;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АО «Люберецкий </w:t>
      </w:r>
      <w:proofErr w:type="spellStart"/>
      <w:r>
        <w:rPr>
          <w:rFonts w:ascii="Arial" w:hAnsi="Arial" w:cs="Arial"/>
        </w:rPr>
        <w:t>хлебокомбинат</w:t>
      </w:r>
      <w:proofErr w:type="spellEnd"/>
      <w:r>
        <w:rPr>
          <w:rFonts w:ascii="Arial" w:hAnsi="Arial" w:cs="Arial"/>
        </w:rPr>
        <w:t>» - производство хлеба и мучных кондитерских изделий, тортов и пирожных недлительного хранения (10.71) - убыток 11,5 млн. рублей;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ЗАО «ЛПТУС» - деятельность по предоставлению услуг по передаче данных и услуг доступа к информационно-коммуникационной сети Интернет (61.10.3) - убыток по итогам 2018 года 4,5 млн. рублей, при этом </w:t>
      </w:r>
      <w:r>
        <w:rPr>
          <w:rFonts w:ascii="Arial" w:hAnsi="Arial" w:cs="Arial"/>
        </w:rPr>
        <w:br/>
        <w:t>в 2017 прибыль в размере 2 млн. рублей.</w:t>
      </w:r>
    </w:p>
    <w:p w:rsidR="00B55D6F" w:rsidRDefault="00B55D6F" w:rsidP="00B55D6F">
      <w:pPr>
        <w:ind w:firstLine="709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Находятся в процессе ликвидации: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«ЛЗП» (убыток по итогам 2018 года составил 3 518,00 млн. рублей;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МУП «ТЖТ» (убыток по итогам 2018 года составил 5,8 млн. рублей,</w:t>
      </w:r>
      <w:r>
        <w:rPr>
          <w:rFonts w:ascii="Arial" w:hAnsi="Arial" w:cs="Arial"/>
        </w:rPr>
        <w:br/>
        <w:t xml:space="preserve"> при этом в 2017 году - прибыль в размере 213 тыс. рублей),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«ТЖТ» (убыток по итогам 2018 года - 8,8 млн. рублей), </w:t>
      </w:r>
    </w:p>
    <w:p w:rsidR="00B55D6F" w:rsidRDefault="00B55D6F" w:rsidP="00B55D6F">
      <w:pPr>
        <w:numPr>
          <w:ilvl w:val="0"/>
          <w:numId w:val="14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«ЭМ ЭС Джи» (убыток в размере 6 млн. рублей) - находятся                        в  процессе ликвидации. 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темпов роста прибыли в 2019 году оказывает проведенная организациями модернизация производства:</w:t>
      </w:r>
    </w:p>
    <w:p w:rsidR="00B55D6F" w:rsidRDefault="00B55D6F" w:rsidP="00B55D6F">
      <w:pPr>
        <w:numPr>
          <w:ilvl w:val="0"/>
          <w:numId w:val="4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ООО «ПЕХОРСКИЙ ТЕКСТИЛЬ», АО «НПО ЭНЕРГОКОНТРАКТ», </w:t>
      </w:r>
      <w:r>
        <w:rPr>
          <w:rFonts w:ascii="Arial" w:hAnsi="Arial" w:cs="Arial"/>
        </w:rPr>
        <w:br/>
        <w:t>ООО «</w:t>
      </w:r>
      <w:proofErr w:type="spellStart"/>
      <w:r>
        <w:rPr>
          <w:rFonts w:ascii="Arial" w:hAnsi="Arial" w:cs="Arial"/>
        </w:rPr>
        <w:t>Ирекс</w:t>
      </w:r>
      <w:proofErr w:type="spellEnd"/>
      <w:r>
        <w:rPr>
          <w:rFonts w:ascii="Arial" w:hAnsi="Arial" w:cs="Arial"/>
        </w:rPr>
        <w:t>» - открытие новых корпусов производства;</w:t>
      </w:r>
    </w:p>
    <w:p w:rsidR="00B55D6F" w:rsidRDefault="00B55D6F" w:rsidP="00B55D6F">
      <w:pPr>
        <w:numPr>
          <w:ilvl w:val="0"/>
          <w:numId w:val="4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ООО «</w:t>
      </w:r>
      <w:proofErr w:type="spellStart"/>
      <w:r>
        <w:rPr>
          <w:rFonts w:ascii="Arial" w:hAnsi="Arial" w:cs="Arial"/>
        </w:rPr>
        <w:t>Скай</w:t>
      </w:r>
      <w:proofErr w:type="spellEnd"/>
      <w:r>
        <w:rPr>
          <w:rFonts w:ascii="Arial" w:hAnsi="Arial" w:cs="Arial"/>
        </w:rPr>
        <w:t xml:space="preserve"> Лэйк», ЗАО «ВИК «ТЕНЗО-М», АО «МВЗ им. М.Л. Миля», ООО «НПП ТЭЗ», АО «НПП «Звезда» им. академика Г.И. </w:t>
      </w:r>
      <w:proofErr w:type="spellStart"/>
      <w:r>
        <w:rPr>
          <w:rFonts w:ascii="Arial" w:hAnsi="Arial" w:cs="Arial"/>
        </w:rPr>
        <w:t>Серевина</w:t>
      </w:r>
      <w:proofErr w:type="spellEnd"/>
      <w:r>
        <w:rPr>
          <w:rFonts w:ascii="Arial" w:hAnsi="Arial" w:cs="Arial"/>
        </w:rPr>
        <w:t>» - модернизация имеющегося оборудования для увеличения производственных мощностей.</w:t>
      </w:r>
    </w:p>
    <w:p w:rsidR="00B55D6F" w:rsidRDefault="00B55D6F" w:rsidP="00B55D6F">
      <w:pPr>
        <w:numPr>
          <w:ilvl w:val="0"/>
          <w:numId w:val="4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 xml:space="preserve">ООО «ОЕРЛИКОН МЕТКО РУС», ООО «ФИРМА «КАЛИТА», </w:t>
      </w:r>
      <w:r>
        <w:rPr>
          <w:rFonts w:ascii="Arial" w:hAnsi="Arial" w:cs="Arial"/>
        </w:rPr>
        <w:br/>
        <w:t>АО «</w:t>
      </w:r>
      <w:proofErr w:type="spellStart"/>
      <w:r>
        <w:rPr>
          <w:rFonts w:ascii="Arial" w:hAnsi="Arial" w:cs="Arial"/>
        </w:rPr>
        <w:t>Хеливерт</w:t>
      </w:r>
      <w:proofErr w:type="spellEnd"/>
      <w:r>
        <w:rPr>
          <w:rFonts w:ascii="Arial" w:hAnsi="Arial" w:cs="Arial"/>
        </w:rPr>
        <w:t xml:space="preserve">», ООО «РГ-Техно», АО «41 ЦЕНТРАЛЬНЫЙ ЗАВОД», </w:t>
      </w:r>
      <w:r>
        <w:rPr>
          <w:rFonts w:ascii="Arial" w:hAnsi="Arial" w:cs="Arial"/>
        </w:rPr>
        <w:br/>
        <w:t>АО «РАДАР-2633» - заключение новых государственных контрактов</w:t>
      </w:r>
      <w:proofErr w:type="gramEnd"/>
    </w:p>
    <w:p w:rsidR="00B55D6F" w:rsidRDefault="00B55D6F" w:rsidP="00B55D6F">
      <w:pPr>
        <w:numPr>
          <w:ilvl w:val="0"/>
          <w:numId w:val="40"/>
        </w:numPr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ГК «Самолет»- ввод в эксплуатацию 3 домов в 2019 году </w:t>
      </w:r>
      <w:r>
        <w:rPr>
          <w:rFonts w:ascii="Arial" w:hAnsi="Arial" w:cs="Arial"/>
        </w:rPr>
        <w:br/>
        <w:t>(ЖК «Люберцы»), 4 домов (ЖК «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») и 8 домов («ЖК «Люберцы») </w:t>
      </w:r>
      <w:r>
        <w:rPr>
          <w:rFonts w:ascii="Arial" w:hAnsi="Arial" w:cs="Arial"/>
        </w:rPr>
        <w:br/>
        <w:t xml:space="preserve">в 2020 году, а так же  3 дома в 2021 году (ЖК «Квартал </w:t>
      </w:r>
      <w:proofErr w:type="spellStart"/>
      <w:r>
        <w:rPr>
          <w:rFonts w:ascii="Arial" w:hAnsi="Arial" w:cs="Arial"/>
        </w:rPr>
        <w:t>Некрасовка</w:t>
      </w:r>
      <w:proofErr w:type="spellEnd"/>
      <w:r>
        <w:rPr>
          <w:rFonts w:ascii="Arial" w:hAnsi="Arial" w:cs="Arial"/>
        </w:rPr>
        <w:t xml:space="preserve">»).  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Рост прибыли в малых предприятий в 2018 году связан с деятельностью предприятий торговли: </w:t>
      </w:r>
      <w:proofErr w:type="gramStart"/>
      <w:r>
        <w:rPr>
          <w:rFonts w:ascii="Arial" w:hAnsi="Arial" w:cs="Arial"/>
        </w:rPr>
        <w:t xml:space="preserve">ООО «ТТМ Центр», ООО «Сириус», ООО «ГАРАНТ», ООО «СТРОЙСЕРВИС» (общая прибыль по итогам 2018 года составляет </w:t>
      </w:r>
      <w:r>
        <w:rPr>
          <w:rFonts w:ascii="Arial" w:hAnsi="Arial" w:cs="Arial"/>
        </w:rPr>
        <w:br/>
        <w:t>32,9 млн. рублей).</w:t>
      </w:r>
      <w:proofErr w:type="gramEnd"/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2019 году и плановых 2020-2022 годах сохранится тенденция увеличения темпов роста прибыли в размере 105-107 %. Наблюдается тенденция к переходу ряда организаций городского округа в разряд малого бизнеса,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ООО «ТД «Альянс-Агро» - торговля оптовая кормами для сельскохозяйственных животных, ООО ПК «</w:t>
      </w:r>
      <w:proofErr w:type="spellStart"/>
      <w:r>
        <w:rPr>
          <w:rFonts w:ascii="Arial" w:hAnsi="Arial" w:cs="Arial"/>
        </w:rPr>
        <w:t>Атеси</w:t>
      </w:r>
      <w:proofErr w:type="spellEnd"/>
      <w:r>
        <w:rPr>
          <w:rFonts w:ascii="Arial" w:hAnsi="Arial" w:cs="Arial"/>
        </w:rPr>
        <w:t>» - производство машин                  и оборудования для производства пищевых продуктов, напитков и табачных изделий,), ООО «ТД Галактион» - торговля оптовая</w:t>
      </w:r>
      <w:proofErr w:type="gramEnd"/>
      <w:r>
        <w:rPr>
          <w:rFonts w:ascii="Arial" w:hAnsi="Arial" w:cs="Arial"/>
        </w:rPr>
        <w:t xml:space="preserve"> молочными продуктами, яйцами и пищевыми маслами и жирами, а так же таких крупных застройщиков как Группа Компаний ПИК, ИСК «</w:t>
      </w:r>
      <w:proofErr w:type="spellStart"/>
      <w:r>
        <w:rPr>
          <w:rFonts w:ascii="Arial" w:hAnsi="Arial" w:cs="Arial"/>
        </w:rPr>
        <w:t>Ариал</w:t>
      </w:r>
      <w:proofErr w:type="spellEnd"/>
      <w:r>
        <w:rPr>
          <w:rFonts w:ascii="Arial" w:hAnsi="Arial" w:cs="Arial"/>
        </w:rPr>
        <w:t>», ООО «</w:t>
      </w:r>
      <w:proofErr w:type="spellStart"/>
      <w:r>
        <w:rPr>
          <w:rFonts w:ascii="Arial" w:hAnsi="Arial" w:cs="Arial"/>
        </w:rPr>
        <w:t>Капстрой</w:t>
      </w:r>
      <w:proofErr w:type="spellEnd"/>
      <w:r>
        <w:rPr>
          <w:rFonts w:ascii="Arial" w:hAnsi="Arial" w:cs="Arial"/>
        </w:rPr>
        <w:t>». Положительная динамика прибыли в прогнозном периоде сохранится, в том числе, благодаря  увеличению сетевых торговых организаций, которые открывают новые стационарные торговые объекты;  наполняемости торговых помещений                      в крупных торговых центрах арендаторами, в том числе увеличение «якорных» арендаторов. Увеличение объемов производства за счет модернизации.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Прибыль от деятельности организаций городского округа за 2018 год получена в размере 20,3 млрд. рублей, в 2019 г. ожидается прибыль в размере 21,5 млрд. рублей, темп роста –105,8 %. </w:t>
      </w:r>
      <w:bookmarkStart w:id="43" w:name="OLE_LINK147"/>
      <w:bookmarkStart w:id="44" w:name="OLE_LINK146"/>
      <w:bookmarkStart w:id="45" w:name="OLE_LINK145"/>
      <w:r>
        <w:rPr>
          <w:rFonts w:ascii="Arial" w:hAnsi="Arial" w:cs="Arial"/>
        </w:rPr>
        <w:t>К концу прогнозируемого периода прибыль хозяйствующих субъектов ожидается в объеме 25,4-26,5 млрд. рублей</w:t>
      </w:r>
      <w:bookmarkEnd w:id="43"/>
      <w:bookmarkEnd w:id="44"/>
      <w:bookmarkEnd w:id="45"/>
      <w:r>
        <w:rPr>
          <w:rFonts w:ascii="Arial" w:hAnsi="Arial" w:cs="Arial"/>
        </w:rPr>
        <w:t>, темп роста 5,8-7,5 %.</w:t>
      </w:r>
    </w:p>
    <w:p w:rsidR="00B55D6F" w:rsidRDefault="00B55D6F" w:rsidP="00B55D6F">
      <w:pPr>
        <w:tabs>
          <w:tab w:val="left" w:pos="851"/>
          <w:tab w:val="left" w:pos="993"/>
        </w:tabs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Перечень основных проблемных вопросов </w:t>
      </w:r>
      <w:r>
        <w:rPr>
          <w:rFonts w:ascii="Arial" w:hAnsi="Arial" w:cs="Arial"/>
          <w:b/>
          <w:color w:val="000000"/>
        </w:rPr>
        <w:br/>
        <w:t>городского округа Люберцы</w:t>
      </w:r>
    </w:p>
    <w:p w:rsidR="00B55D6F" w:rsidRDefault="00B55D6F" w:rsidP="00B55D6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Наиболее острыми проблемами городского округа, требующими приоритетного разрешения, являются: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несоответствие нормативным требованиям уровня обеспеченности населения городского округа объектами культуры (школы дополнительного образования детей, библиотеки, в том числе детские), физической культуры и спорта;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отток квалифицированной рабочей силы в г. Москву;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значительный износ коммунальной инфраструктуры;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большая загруженность дорог городского округа автотранспортом.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сфере промышленности необходимость технической модернизации. Существующий потенциал промышленности сильно уступает требованиям глобального рынка, промышленные комплексы нуждаются                    в новом современном оборудовании, технологиях и методах.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</w:t>
      </w:r>
      <w:proofErr w:type="gramEnd"/>
      <w:r>
        <w:rPr>
          <w:rFonts w:ascii="Arial" w:hAnsi="Arial" w:cs="Arial"/>
        </w:rPr>
        <w:t xml:space="preserve">едостаток финансирования и нестабильная материально-техническая база. В условиях нехватки материальных средств, предприятия и промышленные организации не имеют возможности обновить свою технологическую базу, внедрить инновации и перейти на новый технический уровень развития.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недостаточная развитость научно-исследовательской работы. Несовершенная научно-производственная база и недостаток научно-исследовательских компаний, которые занимаются освоением и внедрением               в промышленность современных технологий и разработок, приводит                    к негативным последствиям и снижает темпы роста производства. 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</w:t>
      </w:r>
      <w:proofErr w:type="gramEnd"/>
      <w:r>
        <w:rPr>
          <w:rFonts w:ascii="Arial" w:hAnsi="Arial" w:cs="Arial"/>
        </w:rPr>
        <w:t>тсутствие площадей земель сельскохозяйственного назначения,               и как следствие, отсутствие сельскохозяйственного производства.</w:t>
      </w:r>
    </w:p>
    <w:p w:rsidR="00B55D6F" w:rsidRDefault="00B55D6F" w:rsidP="00B55D6F">
      <w:pPr>
        <w:numPr>
          <w:ilvl w:val="0"/>
          <w:numId w:val="14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н</w:t>
      </w:r>
      <w:proofErr w:type="gramEnd"/>
      <w:r>
        <w:rPr>
          <w:rFonts w:ascii="Arial" w:hAnsi="Arial" w:cs="Arial"/>
        </w:rPr>
        <w:t>еравномерное размещение торговых объектов (переизбыток имеющихся торговых площадей на территории городских населенных пунктов и недостаток в сельских). Одной из причин является непривлекательная для арендаторов высокая арендная плата торговой площади, которая                                не пересматривается собственником торговых помещений в сторону снижения из-за высоких издержек по финансовым обязательствам перед кредитными организациями.</w:t>
      </w:r>
    </w:p>
    <w:p w:rsidR="00B55D6F" w:rsidRDefault="00B55D6F" w:rsidP="00B55D6F">
      <w:pPr>
        <w:jc w:val="both"/>
        <w:rPr>
          <w:rFonts w:ascii="Arial" w:hAnsi="Arial" w:cs="Arial"/>
        </w:rPr>
      </w:pPr>
    </w:p>
    <w:p w:rsidR="00B55D6F" w:rsidRDefault="00B55D6F" w:rsidP="00B55D6F">
      <w:pPr>
        <w:rPr>
          <w:rFonts w:ascii="Arial" w:hAnsi="Arial" w:cs="Arial"/>
        </w:rPr>
        <w:sectPr w:rsidR="00B55D6F" w:rsidSect="00B55D6F">
          <w:pgSz w:w="11906" w:h="16838"/>
          <w:pgMar w:top="1021" w:right="851" w:bottom="709" w:left="709" w:header="709" w:footer="709" w:gutter="0"/>
          <w:cols w:space="720"/>
        </w:sectPr>
      </w:pPr>
    </w:p>
    <w:p w:rsidR="00B55D6F" w:rsidRDefault="00B55D6F" w:rsidP="00B55D6F">
      <w:pPr>
        <w:ind w:hanging="57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ПРОГНОЗ СОЦИАЛЬНО - ЭКОНОМИЧЕСКОГО РАЗВИТИЯ НА 2020-2022 ГОДЫ</w:t>
      </w:r>
    </w:p>
    <w:p w:rsidR="00B55D6F" w:rsidRDefault="00B55D6F" w:rsidP="00B55D6F">
      <w:pPr>
        <w:ind w:hanging="5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Люберцы</w:t>
      </w:r>
    </w:p>
    <w:p w:rsidR="00B55D6F" w:rsidRDefault="00B55D6F" w:rsidP="00B55D6F">
      <w:pPr>
        <w:ind w:hanging="57"/>
        <w:rPr>
          <w:rFonts w:ascii="Arial" w:hAnsi="Arial" w:cs="Arial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039"/>
        <w:gridCol w:w="1540"/>
        <w:gridCol w:w="1245"/>
        <w:gridCol w:w="1246"/>
        <w:gridCol w:w="1260"/>
        <w:gridCol w:w="1276"/>
        <w:gridCol w:w="1262"/>
        <w:gridCol w:w="1293"/>
        <w:gridCol w:w="1232"/>
        <w:gridCol w:w="1274"/>
        <w:gridCol w:w="1209"/>
      </w:tblGrid>
      <w:tr w:rsidR="00B55D6F" w:rsidTr="00B55D6F">
        <w:trPr>
          <w:trHeight w:val="20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 w:rsidP="00B55D6F">
            <w:pPr>
              <w:ind w:left="-57" w:right="-57" w:hanging="51"/>
              <w:jc w:val="center"/>
              <w:rPr>
                <w:rFonts w:ascii="Arial" w:hAnsi="Arial" w:cs="Arial"/>
                <w:b/>
                <w:bCs/>
              </w:rPr>
            </w:pPr>
            <w:bookmarkStart w:id="46" w:name="_GoBack"/>
            <w:bookmarkEnd w:id="46"/>
            <w:r>
              <w:rPr>
                <w:rFonts w:ascii="Arial" w:hAnsi="Arial" w:cs="Arial"/>
                <w:b/>
                <w:bCs/>
              </w:rPr>
              <w:t>Показатели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Единицы измерения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Отчет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Оценка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2020</w:t>
            </w:r>
          </w:p>
        </w:tc>
        <w:tc>
          <w:tcPr>
            <w:tcW w:w="25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2021</w:t>
            </w:r>
          </w:p>
        </w:tc>
        <w:tc>
          <w:tcPr>
            <w:tcW w:w="24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2022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Прогноз вариант 1 (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консерва-тивный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Прогноз вариант 2 (базовый)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Прогноз вариант 1 (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консерва-тивный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Прогноз вариант 2 (базовый)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Прогноз вариант 1 (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консерва-тивный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Прогноз вариант 2 (базовый)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 Демографические показатели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Численность постоянного населения (на конец года)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314 523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318 372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321 638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324 733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325 140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327 946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328 659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331 204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332 261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численности постоянного населения, в том числе в возрасте: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3 до 7 лет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20 673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22 841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24 481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24 486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24 130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24 138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23 273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23 289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7 до 17 лет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29 578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30 724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32 760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34 843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34 861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37 473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37 497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40 159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40 192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 Промышленное производство 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Млн. рублей </w:t>
            </w:r>
            <w:r>
              <w:rPr>
                <w:rFonts w:ascii="Arial" w:hAnsi="Arial" w:cs="Arial"/>
              </w:rPr>
              <w:br/>
              <w:t>в ценах соответствующих лет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38 913,5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41 978,3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43 596,7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45 895,1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46 241,1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48 566,9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49 518,0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51 640,6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54 011,1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 Сельское хозяйство 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важнейших видов сельскохозяйственной продукции в натуральном выражении: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Культуры зерновые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тонн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Семена и плоды масличных культур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тонн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Картофель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тонн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1 276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1 278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1 277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1 280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1 279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1 284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Овощи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тонн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1 499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1 497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1 504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1 499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1 507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Скот и птица на убой </w:t>
            </w:r>
          </w:p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(в живом весе)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тонн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Молоко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тонн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Яйца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штук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4. Транспорт</w:t>
            </w:r>
            <w:r>
              <w:rPr>
                <w:rFonts w:ascii="Arial" w:hAnsi="Arial" w:cs="Arial"/>
              </w:rPr>
              <w:t> 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Протяженность автомобильных дорог общего пользования с твердым типом покрытия местного значения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километр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310,62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319,07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319,07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319,49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319,49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319,91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319,91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5. Малое и среднее предпринимательство, включая микро-предприятия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Число малых и средних предприятий, включая </w:t>
            </w:r>
            <w:proofErr w:type="spellStart"/>
            <w:r>
              <w:rPr>
                <w:rFonts w:ascii="Arial" w:hAnsi="Arial" w:cs="Arial"/>
              </w:rPr>
              <w:t>микропредприятия</w:t>
            </w:r>
            <w:proofErr w:type="spellEnd"/>
            <w:r>
              <w:rPr>
                <w:rFonts w:ascii="Arial" w:hAnsi="Arial" w:cs="Arial"/>
              </w:rPr>
              <w:t xml:space="preserve"> (на конец года)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5 896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6 986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7 252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7 267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7 360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7 397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7 499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7 552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6. Инвестиции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Инвестиции в основной капитал за счет всех источников финансирования: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ценах соответствующих лет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Млн. рублей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29 661,81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35 133,53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38 109,97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39 818,26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39 866,46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41 579,59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41 672,87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43 377,43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43 536,65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индекс физического объема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к предыдущему году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Инвестиции в основной капитал (без субъектов малого предпринимательства и параметров неформальной деятельности) из местных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Млн. рублей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19,85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34,2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7. Строительство и жилищно-коммунальное хозяйство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работ, выполненных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lastRenderedPageBreak/>
              <w:t xml:space="preserve"> по виду экономической деятельности «Строительство» (Раздел F)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Млн. рублей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5 747,00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10 224,18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10 899,2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11 508,3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11 576,7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12 239,2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12 998,7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12 946,8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13 782,5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Индекс производства по виду деятельности «Строительство» (Раздел F)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к предыдущему году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Ввод в действие жилых домов, построенных за счёт всех источников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кв. м общей площади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320,85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488,54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313,40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317,80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338,80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345,00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 w:rsidP="00B55D6F">
            <w:pPr>
              <w:ind w:left="-57" w:right="-57" w:firstLineChars="200" w:firstLine="4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Индивидуальные жилые дома, построенные населением </w:t>
            </w:r>
            <w:r>
              <w:rPr>
                <w:rFonts w:ascii="Arial" w:hAnsi="Arial" w:cs="Arial"/>
              </w:rPr>
              <w:br/>
              <w:t>за счет собственных и (или) кредитных средств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кв. м общей площади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13,30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15,90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Уровень обеспеченности населения жильем (на конец года)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м на человека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31,76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31,75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32,41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32,38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33,07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ветхих </w:t>
            </w:r>
            <w:r>
              <w:rPr>
                <w:rFonts w:ascii="Arial" w:hAnsi="Arial" w:cs="Arial"/>
              </w:rPr>
              <w:br/>
              <w:t>и аварийных жилых помещений (на конец года)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кв. 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152,2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Общая площадь аварийных жилых помещений (на конец года)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кв. 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Ликвидировано ветхого </w:t>
            </w:r>
            <w:r>
              <w:rPr>
                <w:rFonts w:ascii="Arial" w:hAnsi="Arial" w:cs="Arial"/>
              </w:rPr>
              <w:br/>
              <w:t>и аварийного жилищного фонда за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кв. 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 том числе: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Ликвидировано аварийного жилищного фонда за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кв. 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8. Финансы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Прибыль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 рублей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22 151 524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20 348 186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21 523 813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22 753 042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23 052 004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24 049 965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24 734 801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25 444 863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26 589 911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9. Труд и заработная плата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рабочих мест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1 744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1 784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Численность официально зарегистрированных безработных, на конец года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Фонд начисленной заработной платы всех работников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Млн. рублей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47 545,7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47 388,9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49 508,0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50 826,7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52 770,2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52 281,5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56 067,8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53 874,4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59 116,6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 роста фонда заработной платы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к предыдущему году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Среднемесячная номинальная начисленная заработная плата работников (по полному кругу организаций)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47 813,3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50 630,5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51 602,4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52 604,5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52 772,9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53 664,3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54 011,5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54 801,2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55 608,8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Среднемесячная заработная плата работников малых предприятий (включая </w:t>
            </w:r>
            <w:proofErr w:type="spellStart"/>
            <w:r>
              <w:rPr>
                <w:rFonts w:ascii="Arial" w:hAnsi="Arial" w:cs="Arial"/>
              </w:rPr>
              <w:t>микропредприятия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33 563,4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33 563,6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33 564,1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33 564,1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33 581,0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33 564,7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33 599,3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33 564,9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33 616,5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 xml:space="preserve">Среднемесячная заработная плата работников бюджетной сферы и отношение средней заработной платы отдельных категорий работников бюджетной сферы к среднемесячному доходу от трудовой деятельности по Московской области в соответствии с </w:t>
            </w:r>
            <w:r>
              <w:rPr>
                <w:rFonts w:ascii="Arial" w:hAnsi="Arial" w:cs="Arial"/>
                <w:b/>
              </w:rPr>
              <w:lastRenderedPageBreak/>
              <w:t xml:space="preserve">Указами Президента Российской Федерации </w:t>
            </w:r>
            <w:r>
              <w:rPr>
                <w:rFonts w:ascii="Arial" w:hAnsi="Arial" w:cs="Arial"/>
                <w:b/>
              </w:rPr>
              <w:br/>
              <w:t xml:space="preserve">от 07.05.2012 № 597 «О мероприятиях по реализации государственной социальной политики», от 01.06.2012 № 761 «О Национальной стратегии действий </w:t>
            </w:r>
            <w:r>
              <w:rPr>
                <w:rFonts w:ascii="Arial" w:hAnsi="Arial" w:cs="Arial"/>
                <w:b/>
              </w:rPr>
              <w:br/>
              <w:t>в интересах детей на 2012-2017 годы» и от 28,12,2012 № 1688 «О</w:t>
            </w:r>
            <w:proofErr w:type="gramEnd"/>
            <w:r>
              <w:rPr>
                <w:rFonts w:ascii="Arial" w:hAnsi="Arial" w:cs="Arial"/>
                <w:b/>
              </w:rPr>
              <w:t xml:space="preserve"> некоторых мерах по реализации государственной политики в сфере защиты детей-сирот </w:t>
            </w:r>
            <w:r>
              <w:rPr>
                <w:rFonts w:ascii="Arial" w:hAnsi="Arial" w:cs="Arial"/>
                <w:b/>
              </w:rPr>
              <w:br/>
              <w:t>и детей, оставшихся без попечения родителей»: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Образование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Среднемесячная номинальная начисленная заработная плата: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педагогических работников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48 964,3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51 071,5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53 335,5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53 388,8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53 868,9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53 442,2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54 407,5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53 495,7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54 951,6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педагогических работников дошкольных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54 397,3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58 649,1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58 780,2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58 780,2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58 956,5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58 956,5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59 162,9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59 162,9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59 430,0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педагогических работников организаций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51 268,0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59 525,1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59 525,1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59 525,1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59 703,7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59 703,7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59 942,5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59 942,5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60 230,0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к средней заработной плате в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85,32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79,59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79,59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78,54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Отношение средней заработной платы педагогических работников общеобразовательных </w:t>
            </w:r>
            <w:r>
              <w:rPr>
                <w:rFonts w:ascii="Arial" w:hAnsi="Arial" w:cs="Arial"/>
              </w:rPr>
              <w:lastRenderedPageBreak/>
              <w:t xml:space="preserve">организаций к среднемесячной начисленной заработной плате наёмных работников </w:t>
            </w:r>
            <w:r>
              <w:rPr>
                <w:rFonts w:ascii="Arial" w:hAnsi="Arial" w:cs="Arial"/>
              </w:rPr>
              <w:br/>
              <w:t xml:space="preserve">в организациях, </w:t>
            </w:r>
            <w:r>
              <w:rPr>
                <w:rFonts w:ascii="Arial" w:hAnsi="Arial" w:cs="Arial"/>
              </w:rPr>
              <w:br/>
              <w:t xml:space="preserve">у индивидуальных предпринимателей </w:t>
            </w:r>
            <w:r>
              <w:rPr>
                <w:rFonts w:ascii="Arial" w:hAnsi="Arial" w:cs="Arial"/>
              </w:rPr>
              <w:br/>
              <w:t xml:space="preserve">и физических лиц (среднемесячному доходу </w:t>
            </w:r>
            <w:r>
              <w:rPr>
                <w:rFonts w:ascii="Arial" w:hAnsi="Arial" w:cs="Arial"/>
              </w:rPr>
              <w:br/>
              <w:t>от трудовой деятельности)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84,8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Отношение среднемесячной заработной платы педагогических работников дошкольных образовательных организаций к среднемесячной заработной плате </w:t>
            </w:r>
            <w:r>
              <w:rPr>
                <w:rFonts w:ascii="Arial" w:hAnsi="Arial" w:cs="Arial"/>
              </w:rPr>
              <w:br/>
              <w:t>в общеобразовательных организациях в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115,3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Отношение среднемесячной заработной платы педагогических работников организаций дополнительного образования детей </w:t>
            </w:r>
            <w:r>
              <w:rPr>
                <w:rFonts w:ascii="Arial" w:hAnsi="Arial" w:cs="Arial"/>
              </w:rPr>
              <w:br/>
              <w:t xml:space="preserve">к среднемесячной </w:t>
            </w:r>
            <w:r>
              <w:rPr>
                <w:rFonts w:ascii="Arial" w:hAnsi="Arial" w:cs="Arial"/>
              </w:rPr>
              <w:lastRenderedPageBreak/>
              <w:t>заработной плате учителей в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Культура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Среднемесячная номинальная начисленная заработная плата работников муниципальных учреждений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42 111,7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48 600,0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49 400,0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52 610,0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53 020,0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56 443,0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57 249,4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60 850,0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61 902,8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Отношение средней заработной платы работников учреждений культуры </w:t>
            </w:r>
            <w:r>
              <w:rPr>
                <w:rFonts w:ascii="Arial" w:hAnsi="Arial" w:cs="Arial"/>
              </w:rPr>
              <w:br/>
              <w:t xml:space="preserve">к средней заработной плате </w:t>
            </w:r>
            <w:r>
              <w:rPr>
                <w:rFonts w:ascii="Arial" w:hAnsi="Arial" w:cs="Arial"/>
              </w:rPr>
              <w:br/>
              <w:t>по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89,91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87,79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88,31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88,37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87,87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88,48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Отношение средней заработной платы работников учреждений культуры к среднемесячной начисленной заработной плате наёмных работников в организациях, </w:t>
            </w:r>
            <w:r>
              <w:rPr>
                <w:rFonts w:ascii="Arial" w:hAnsi="Arial" w:cs="Arial"/>
              </w:rPr>
              <w:br/>
              <w:t xml:space="preserve">у индивидуальных предпринимателей </w:t>
            </w:r>
            <w:r>
              <w:rPr>
                <w:rFonts w:ascii="Arial" w:hAnsi="Arial" w:cs="Arial"/>
              </w:rPr>
              <w:br/>
              <w:t xml:space="preserve">и физических лиц (среднемесячному доходу </w:t>
            </w:r>
            <w:r>
              <w:rPr>
                <w:rFonts w:ascii="Arial" w:hAnsi="Arial" w:cs="Arial"/>
              </w:rPr>
              <w:br/>
              <w:t>от трудовой деятельности)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10. Торговля и услуги</w:t>
            </w:r>
            <w:r>
              <w:rPr>
                <w:rFonts w:ascii="Arial" w:hAnsi="Arial" w:cs="Arial"/>
              </w:rPr>
              <w:t> 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Обеспеченность населения площадью торговых объектов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Кв. метров </w:t>
            </w:r>
          </w:p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1000 чел.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1 062,0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1 077,4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1 081,7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1 081,1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1 080,1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1 083,8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1 087,3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торговых объектов предприятий розничной торговли (на конец года)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кв. 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329,9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359,3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Оборот розничной торговли: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ценах соответствующих лет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Млн. рублей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51 731,8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70 798,4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79 379,2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82 478,0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82 875,2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85 694,6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86 537,9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89 214,8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90 542,3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индекс физического объема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к предыдущему году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11. Образование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дошкольных образовательных муниципальных организаций, реализующих образовательные программы дошкольного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мест в дошкольных муниципальных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15 498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16 804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17 480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18 420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18 770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18 780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19 130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19 280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19 980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Потребность в увеличении числа мест в дошкольных образовательных </w:t>
            </w:r>
            <w:r>
              <w:rPr>
                <w:rFonts w:ascii="Arial" w:hAnsi="Arial" w:cs="Arial"/>
              </w:rPr>
              <w:lastRenderedPageBreak/>
              <w:t>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Тыс. человек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Общее образование: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общеобразовательных муниципальных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обучающихся </w:t>
            </w:r>
            <w:r>
              <w:rPr>
                <w:rFonts w:ascii="Arial" w:hAnsi="Arial" w:cs="Arial"/>
              </w:rPr>
              <w:br/>
              <w:t xml:space="preserve">в государственных (муниципальных) общеобразовательных организациях, занимающихся в одну смену, в общей </w:t>
            </w:r>
            <w:proofErr w:type="gramStart"/>
            <w:r>
              <w:rPr>
                <w:rFonts w:ascii="Arial" w:hAnsi="Arial" w:cs="Arial"/>
              </w:rPr>
              <w:t>численности</w:t>
            </w:r>
            <w:proofErr w:type="gramEnd"/>
            <w:r>
              <w:rPr>
                <w:rFonts w:ascii="Arial" w:hAnsi="Arial" w:cs="Arial"/>
              </w:rPr>
              <w:t xml:space="preserve"> обучающихся </w:t>
            </w:r>
            <w:r>
              <w:rPr>
                <w:rFonts w:ascii="Arial" w:hAnsi="Arial" w:cs="Arial"/>
              </w:rPr>
              <w:br/>
              <w:t>в государственных (муниципальных)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12. Культура и туризм</w:t>
            </w:r>
            <w:r>
              <w:rPr>
                <w:rFonts w:ascii="Arial" w:hAnsi="Arial" w:cs="Arial"/>
              </w:rPr>
              <w:t> 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Уровень обеспеченности населения: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театрами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 </w:t>
            </w:r>
          </w:p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100 тыс. населения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общедоступными библиотеками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 </w:t>
            </w:r>
          </w:p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100 тыс. населения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4,82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учреждениями культурно-досугового типа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 </w:t>
            </w:r>
          </w:p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100 тыс. населения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2,41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музеями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 </w:t>
            </w:r>
            <w:r>
              <w:rPr>
                <w:rFonts w:ascii="Arial" w:hAnsi="Arial" w:cs="Arial"/>
              </w:rPr>
              <w:br/>
              <w:t>на 100 тыс. населения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Число детей, привлекаемых </w:t>
            </w:r>
            <w:r>
              <w:rPr>
                <w:rFonts w:ascii="Arial" w:hAnsi="Arial" w:cs="Arial"/>
              </w:rPr>
              <w:br/>
              <w:t>к участию в творческих мероприятиях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2 986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5 650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5 700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5 700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5 750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5 750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5 800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13. Физическая культура и спорт</w:t>
            </w:r>
            <w:r>
              <w:rPr>
                <w:rFonts w:ascii="Arial" w:hAnsi="Arial" w:cs="Arial"/>
              </w:rPr>
              <w:t> </w:t>
            </w:r>
          </w:p>
        </w:tc>
      </w:tr>
      <w:tr w:rsidR="00B55D6F" w:rsidTr="00B55D6F">
        <w:trPr>
          <w:trHeight w:val="20"/>
        </w:trPr>
        <w:tc>
          <w:tcPr>
            <w:tcW w:w="15876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Обеспеченность населения спортивными сооружениями: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спортивными залами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Тыс. кв. м </w:t>
            </w:r>
          </w:p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10 тыс. населения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плоскостными сооружениями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Тыс. кв. м </w:t>
            </w:r>
          </w:p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10 тыс. населения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10,24</w:t>
            </w:r>
          </w:p>
        </w:tc>
      </w:tr>
      <w:tr w:rsidR="00B55D6F" w:rsidTr="00B55D6F">
        <w:trPr>
          <w:trHeight w:val="20"/>
        </w:trPr>
        <w:tc>
          <w:tcPr>
            <w:tcW w:w="3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плавательными бассейнами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Кв. м </w:t>
            </w:r>
            <w:r>
              <w:rPr>
                <w:rFonts w:ascii="Arial" w:hAnsi="Arial" w:cs="Arial"/>
              </w:rPr>
              <w:br/>
              <w:t xml:space="preserve">зеркала воды </w:t>
            </w:r>
            <w:r>
              <w:rPr>
                <w:rFonts w:ascii="Arial" w:hAnsi="Arial" w:cs="Arial"/>
              </w:rPr>
              <w:br/>
              <w:t>на 10 тыс. населения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58,69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54,32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51,72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53,73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53,32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55D6F" w:rsidRDefault="00B55D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53,15</w:t>
            </w:r>
          </w:p>
        </w:tc>
      </w:tr>
    </w:tbl>
    <w:p w:rsidR="00B55D6F" w:rsidRDefault="00B55D6F" w:rsidP="00B55D6F">
      <w:pPr>
        <w:ind w:left="-57" w:right="-57"/>
        <w:rPr>
          <w:rFonts w:ascii="Arial" w:hAnsi="Arial" w:cs="Arial"/>
        </w:rPr>
      </w:pPr>
    </w:p>
    <w:p w:rsidR="00975551" w:rsidRDefault="00975551"/>
    <w:sectPr w:rsidR="00975551" w:rsidSect="00B55D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FE8"/>
    <w:multiLevelType w:val="hybridMultilevel"/>
    <w:tmpl w:val="CFFA5D1A"/>
    <w:lvl w:ilvl="0" w:tplc="833C0388">
      <w:start w:val="65535"/>
      <w:numFmt w:val="bullet"/>
      <w:lvlText w:val="-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4B71EE8"/>
    <w:multiLevelType w:val="hybridMultilevel"/>
    <w:tmpl w:val="08B0AFF0"/>
    <w:lvl w:ilvl="0" w:tplc="F2E49D4C">
      <w:start w:val="65535"/>
      <w:numFmt w:val="bullet"/>
      <w:lvlText w:val="-"/>
      <w:lvlJc w:val="left"/>
      <w:pPr>
        <w:ind w:left="680" w:hanging="79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</w:abstractNum>
  <w:abstractNum w:abstractNumId="2">
    <w:nsid w:val="0733645F"/>
    <w:multiLevelType w:val="hybridMultilevel"/>
    <w:tmpl w:val="B76672FC"/>
    <w:lvl w:ilvl="0" w:tplc="833C0388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FF1651"/>
    <w:multiLevelType w:val="hybridMultilevel"/>
    <w:tmpl w:val="A2922220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962246"/>
    <w:multiLevelType w:val="hybridMultilevel"/>
    <w:tmpl w:val="29BC87A2"/>
    <w:lvl w:ilvl="0" w:tplc="833C0388">
      <w:start w:val="65535"/>
      <w:numFmt w:val="bullet"/>
      <w:lvlText w:val="-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C6D4099"/>
    <w:multiLevelType w:val="hybridMultilevel"/>
    <w:tmpl w:val="C502993A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050057"/>
    <w:multiLevelType w:val="hybridMultilevel"/>
    <w:tmpl w:val="4BE60D76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E15C59"/>
    <w:multiLevelType w:val="hybridMultilevel"/>
    <w:tmpl w:val="1FDEF7BC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042726"/>
    <w:multiLevelType w:val="hybridMultilevel"/>
    <w:tmpl w:val="0E94BB90"/>
    <w:lvl w:ilvl="0" w:tplc="833C0388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B261A65"/>
    <w:multiLevelType w:val="hybridMultilevel"/>
    <w:tmpl w:val="8FFC4D96"/>
    <w:lvl w:ilvl="0" w:tplc="833C0388">
      <w:start w:val="65535"/>
      <w:numFmt w:val="bullet"/>
      <w:lvlText w:val="-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67976DC"/>
    <w:multiLevelType w:val="hybridMultilevel"/>
    <w:tmpl w:val="2BD4C876"/>
    <w:lvl w:ilvl="0" w:tplc="833C0388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5F87C52"/>
    <w:multiLevelType w:val="hybridMultilevel"/>
    <w:tmpl w:val="3C6AFB32"/>
    <w:lvl w:ilvl="0" w:tplc="833C0388">
      <w:start w:val="65535"/>
      <w:numFmt w:val="bullet"/>
      <w:lvlText w:val="-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51BD08FB"/>
    <w:multiLevelType w:val="hybridMultilevel"/>
    <w:tmpl w:val="5A48CE74"/>
    <w:lvl w:ilvl="0" w:tplc="833C0388">
      <w:start w:val="65535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5524194B"/>
    <w:multiLevelType w:val="hybridMultilevel"/>
    <w:tmpl w:val="3448FFD6"/>
    <w:lvl w:ilvl="0" w:tplc="833C0388">
      <w:start w:val="65535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CF4448C"/>
    <w:multiLevelType w:val="hybridMultilevel"/>
    <w:tmpl w:val="DC02C5E0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0E18F5"/>
    <w:multiLevelType w:val="hybridMultilevel"/>
    <w:tmpl w:val="420062AC"/>
    <w:lvl w:ilvl="0" w:tplc="833C0388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6CC059F6"/>
    <w:multiLevelType w:val="hybridMultilevel"/>
    <w:tmpl w:val="1584C12A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9E0901"/>
    <w:multiLevelType w:val="hybridMultilevel"/>
    <w:tmpl w:val="25B62622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3AA2084"/>
    <w:multiLevelType w:val="hybridMultilevel"/>
    <w:tmpl w:val="5F223738"/>
    <w:lvl w:ilvl="0" w:tplc="833C038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6240DA4"/>
    <w:multiLevelType w:val="hybridMultilevel"/>
    <w:tmpl w:val="CB3EC48C"/>
    <w:lvl w:ilvl="0" w:tplc="833C0388">
      <w:start w:val="65535"/>
      <w:numFmt w:val="bullet"/>
      <w:lvlText w:val="-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8"/>
  </w:num>
  <w:num w:numId="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9"/>
  </w:num>
  <w:num w:numId="14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</w:num>
  <w:num w:numId="1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3"/>
  </w:num>
  <w:num w:numId="1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</w:num>
  <w:num w:numId="2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</w:num>
  <w:num w:numId="2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</w:num>
  <w:num w:numId="24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0"/>
  </w:num>
  <w:num w:numId="2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2"/>
  </w:num>
  <w:num w:numId="3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"/>
  </w:num>
  <w:num w:numId="3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7"/>
  </w:num>
  <w:num w:numId="3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6"/>
  </w:num>
  <w:num w:numId="3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1"/>
  </w:num>
  <w:num w:numId="4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51"/>
    <w:rsid w:val="00975551"/>
    <w:rsid w:val="00B5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5D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55D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55D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55D6F"/>
    <w:pPr>
      <w:keepNext/>
      <w:ind w:firstLine="720"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5D6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55D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55D6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B55D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B55D6F"/>
    <w:rPr>
      <w:rFonts w:ascii="Arial" w:hAnsi="Arial" w:cs="Arial" w:hint="default"/>
      <w:color w:val="558CAE"/>
      <w:sz w:val="24"/>
      <w:szCs w:val="24"/>
      <w:u w:val="single"/>
      <w:bdr w:val="none" w:sz="0" w:space="0" w:color="auto" w:frame="1"/>
      <w:vertAlign w:val="baseline"/>
    </w:rPr>
  </w:style>
  <w:style w:type="character" w:styleId="a4">
    <w:name w:val="FollowedHyperlink"/>
    <w:uiPriority w:val="99"/>
    <w:semiHidden/>
    <w:unhideWhenUsed/>
    <w:rsid w:val="00B55D6F"/>
    <w:rPr>
      <w:color w:val="800080"/>
      <w:u w:val="single"/>
    </w:rPr>
  </w:style>
  <w:style w:type="character" w:customStyle="1" w:styleId="a5">
    <w:name w:val="Обычный (веб) Знак"/>
    <w:aliases w:val="Знак Знак"/>
    <w:link w:val="a6"/>
    <w:uiPriority w:val="99"/>
    <w:semiHidden/>
    <w:locked/>
    <w:rsid w:val="00B55D6F"/>
    <w:rPr>
      <w:sz w:val="24"/>
      <w:szCs w:val="24"/>
      <w:lang w:val="x-none" w:eastAsia="x-none"/>
    </w:rPr>
  </w:style>
  <w:style w:type="paragraph" w:styleId="a6">
    <w:name w:val="Normal (Web)"/>
    <w:aliases w:val="Знак"/>
    <w:basedOn w:val="a"/>
    <w:link w:val="a5"/>
    <w:uiPriority w:val="99"/>
    <w:semiHidden/>
    <w:unhideWhenUsed/>
    <w:qFormat/>
    <w:rsid w:val="00B55D6F"/>
    <w:pPr>
      <w:ind w:left="720"/>
      <w:contextualSpacing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a7">
    <w:name w:val="Верхний колонтитул Знак"/>
    <w:basedOn w:val="a0"/>
    <w:link w:val="a8"/>
    <w:uiPriority w:val="99"/>
    <w:semiHidden/>
    <w:locked/>
    <w:rsid w:val="00B55D6F"/>
    <w:rPr>
      <w:rFonts w:ascii="Calibri" w:hAnsi="Calibri" w:cs="Calibri"/>
      <w:lang w:val="x-none" w:eastAsia="x-none"/>
    </w:rPr>
  </w:style>
  <w:style w:type="character" w:customStyle="1" w:styleId="a9">
    <w:name w:val="Нижний колонтитул Знак"/>
    <w:basedOn w:val="a0"/>
    <w:link w:val="aa"/>
    <w:semiHidden/>
    <w:locked/>
    <w:rsid w:val="00B55D6F"/>
    <w:rPr>
      <w:sz w:val="24"/>
      <w:szCs w:val="24"/>
      <w:lang w:val="x-none" w:eastAsia="x-none"/>
    </w:rPr>
  </w:style>
  <w:style w:type="character" w:customStyle="1" w:styleId="ab">
    <w:name w:val="Название Знак"/>
    <w:basedOn w:val="a0"/>
    <w:link w:val="ac"/>
    <w:locked/>
    <w:rsid w:val="00B55D6F"/>
    <w:rPr>
      <w:b/>
      <w:sz w:val="28"/>
      <w:lang w:val="x-none" w:eastAsia="x-none"/>
    </w:rPr>
  </w:style>
  <w:style w:type="character" w:customStyle="1" w:styleId="ad">
    <w:name w:val="Основной текст Знак"/>
    <w:basedOn w:val="a0"/>
    <w:link w:val="ae"/>
    <w:semiHidden/>
    <w:locked/>
    <w:rsid w:val="00B55D6F"/>
    <w:rPr>
      <w:sz w:val="28"/>
      <w:lang w:val="x-none" w:eastAsia="x-none"/>
    </w:rPr>
  </w:style>
  <w:style w:type="character" w:customStyle="1" w:styleId="af">
    <w:name w:val="Основной текст с отступом Знак"/>
    <w:basedOn w:val="a0"/>
    <w:link w:val="af0"/>
    <w:semiHidden/>
    <w:locked/>
    <w:rsid w:val="00B55D6F"/>
    <w:rPr>
      <w:sz w:val="24"/>
      <w:szCs w:val="24"/>
    </w:rPr>
  </w:style>
  <w:style w:type="character" w:customStyle="1" w:styleId="21">
    <w:name w:val="Основной текст 2 Знак"/>
    <w:basedOn w:val="a0"/>
    <w:link w:val="22"/>
    <w:semiHidden/>
    <w:locked/>
    <w:rsid w:val="00B55D6F"/>
    <w:rPr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locked/>
    <w:rsid w:val="00B55D6F"/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B55D6F"/>
    <w:rPr>
      <w:sz w:val="16"/>
      <w:szCs w:val="16"/>
    </w:rPr>
  </w:style>
  <w:style w:type="character" w:customStyle="1" w:styleId="af1">
    <w:name w:val="Текст выноски Знак"/>
    <w:basedOn w:val="a0"/>
    <w:link w:val="af2"/>
    <w:semiHidden/>
    <w:locked/>
    <w:rsid w:val="00B55D6F"/>
    <w:rPr>
      <w:rFonts w:ascii="Tahoma" w:hAnsi="Tahoma" w:cs="Tahoma"/>
      <w:sz w:val="16"/>
      <w:szCs w:val="16"/>
      <w:lang w:val="x-none" w:eastAsia="x-none"/>
    </w:rPr>
  </w:style>
  <w:style w:type="paragraph" w:customStyle="1" w:styleId="11">
    <w:name w:val="Знак1"/>
    <w:basedOn w:val="a"/>
    <w:uiPriority w:val="99"/>
    <w:rsid w:val="00B55D6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B55D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B55D6F"/>
    <w:pPr>
      <w:widowControl w:val="0"/>
      <w:autoSpaceDE w:val="0"/>
      <w:autoSpaceDN w:val="0"/>
      <w:adjustRightInd w:val="0"/>
      <w:spacing w:line="480" w:lineRule="exact"/>
      <w:ind w:firstLine="706"/>
      <w:jc w:val="both"/>
    </w:pPr>
  </w:style>
  <w:style w:type="character" w:customStyle="1" w:styleId="af3">
    <w:name w:val="Текст док Знак Знак"/>
    <w:link w:val="af4"/>
    <w:locked/>
    <w:rsid w:val="00B55D6F"/>
    <w:rPr>
      <w:bCs/>
      <w:color w:val="000000"/>
      <w:sz w:val="24"/>
      <w:szCs w:val="24"/>
    </w:rPr>
  </w:style>
  <w:style w:type="paragraph" w:customStyle="1" w:styleId="af4">
    <w:name w:val="Текст док Знак"/>
    <w:basedOn w:val="a"/>
    <w:link w:val="af3"/>
    <w:rsid w:val="00B55D6F"/>
    <w:pPr>
      <w:ind w:firstLine="709"/>
      <w:jc w:val="both"/>
    </w:pPr>
    <w:rPr>
      <w:rFonts w:asciiTheme="minorHAnsi" w:eastAsiaTheme="minorHAnsi" w:hAnsiTheme="minorHAnsi" w:cstheme="minorBidi"/>
      <w:bCs/>
      <w:color w:val="000000"/>
      <w:lang w:eastAsia="en-US"/>
    </w:rPr>
  </w:style>
  <w:style w:type="paragraph" w:customStyle="1" w:styleId="Style10">
    <w:name w:val="Style10"/>
    <w:basedOn w:val="a"/>
    <w:uiPriority w:val="99"/>
    <w:rsid w:val="00B55D6F"/>
    <w:pPr>
      <w:widowControl w:val="0"/>
      <w:autoSpaceDE w:val="0"/>
      <w:autoSpaceDN w:val="0"/>
      <w:adjustRightInd w:val="0"/>
    </w:pPr>
  </w:style>
  <w:style w:type="paragraph" w:customStyle="1" w:styleId="western">
    <w:name w:val="western"/>
    <w:basedOn w:val="a"/>
    <w:uiPriority w:val="99"/>
    <w:rsid w:val="00B55D6F"/>
    <w:pPr>
      <w:spacing w:before="100" w:beforeAutospacing="1" w:after="100" w:afterAutospacing="1"/>
    </w:pPr>
  </w:style>
  <w:style w:type="character" w:customStyle="1" w:styleId="af5">
    <w:name w:val="Основной текст_"/>
    <w:link w:val="41"/>
    <w:locked/>
    <w:rsid w:val="00B55D6F"/>
    <w:rPr>
      <w:spacing w:val="5"/>
      <w:shd w:val="clear" w:color="auto" w:fill="FFFFFF"/>
    </w:rPr>
  </w:style>
  <w:style w:type="paragraph" w:customStyle="1" w:styleId="41">
    <w:name w:val="Основной текст4"/>
    <w:basedOn w:val="a"/>
    <w:link w:val="af5"/>
    <w:rsid w:val="00B55D6F"/>
    <w:pPr>
      <w:widowControl w:val="0"/>
      <w:shd w:val="clear" w:color="auto" w:fill="FFFFFF"/>
      <w:spacing w:after="240" w:line="374" w:lineRule="exact"/>
      <w:ind w:firstLine="560"/>
      <w:jc w:val="both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paragraph" w:customStyle="1" w:styleId="12">
    <w:name w:val="Обычный1"/>
    <w:uiPriority w:val="99"/>
    <w:rsid w:val="00B55D6F"/>
    <w:pPr>
      <w:widowControl w:val="0"/>
      <w:snapToGrid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andard">
    <w:name w:val="Standard"/>
    <w:uiPriority w:val="99"/>
    <w:rsid w:val="00B55D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customStyle="1" w:styleId="13">
    <w:name w:val="Без интервала1"/>
    <w:uiPriority w:val="99"/>
    <w:rsid w:val="00B55D6F"/>
    <w:pPr>
      <w:suppressAutoHyphens/>
      <w:autoSpaceDN w:val="0"/>
      <w:spacing w:after="0" w:line="240" w:lineRule="auto"/>
    </w:pPr>
    <w:rPr>
      <w:rFonts w:ascii="Calibri" w:eastAsia="Calibri" w:hAnsi="Calibri" w:cs="Calibri"/>
      <w:kern w:val="3"/>
      <w:lang w:eastAsia="zh-CN"/>
    </w:rPr>
  </w:style>
  <w:style w:type="paragraph" w:customStyle="1" w:styleId="14">
    <w:name w:val="Абзац списка1"/>
    <w:basedOn w:val="Standard"/>
    <w:uiPriority w:val="99"/>
    <w:rsid w:val="00B55D6F"/>
    <w:pPr>
      <w:ind w:left="720"/>
      <w:jc w:val="both"/>
    </w:pPr>
    <w:rPr>
      <w:rFonts w:ascii="Calibri" w:eastAsia="Calibri" w:hAnsi="Calibri"/>
    </w:rPr>
  </w:style>
  <w:style w:type="paragraph" w:customStyle="1" w:styleId="xl63">
    <w:name w:val="xl63"/>
    <w:basedOn w:val="a"/>
    <w:uiPriority w:val="99"/>
    <w:rsid w:val="00B55D6F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uiPriority w:val="99"/>
    <w:rsid w:val="00B55D6F"/>
    <w:pP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B55D6F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uiPriority w:val="99"/>
    <w:rsid w:val="00B55D6F"/>
    <w:pPr>
      <w:spacing w:before="100" w:beforeAutospacing="1" w:after="100" w:afterAutospacing="1"/>
    </w:pPr>
    <w:rPr>
      <w:color w:val="C8C8C8"/>
      <w:sz w:val="16"/>
      <w:szCs w:val="16"/>
    </w:rPr>
  </w:style>
  <w:style w:type="paragraph" w:customStyle="1" w:styleId="xl67">
    <w:name w:val="xl67"/>
    <w:basedOn w:val="a"/>
    <w:uiPriority w:val="99"/>
    <w:rsid w:val="00B55D6F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uiPriority w:val="99"/>
    <w:rsid w:val="00B55D6F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uiPriority w:val="99"/>
    <w:rsid w:val="00B55D6F"/>
    <w:pPr>
      <w:pBdr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uiPriority w:val="99"/>
    <w:rsid w:val="00B55D6F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a"/>
    <w:uiPriority w:val="99"/>
    <w:rsid w:val="00B55D6F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uiPriority w:val="99"/>
    <w:rsid w:val="00B55D6F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200"/>
    </w:pPr>
    <w:rPr>
      <w:sz w:val="18"/>
      <w:szCs w:val="18"/>
    </w:rPr>
  </w:style>
  <w:style w:type="paragraph" w:customStyle="1" w:styleId="xl78">
    <w:name w:val="xl78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9">
    <w:name w:val="xl79"/>
    <w:basedOn w:val="a"/>
    <w:uiPriority w:val="99"/>
    <w:rsid w:val="00B55D6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400"/>
    </w:pPr>
    <w:rPr>
      <w:sz w:val="18"/>
      <w:szCs w:val="18"/>
    </w:rPr>
  </w:style>
  <w:style w:type="paragraph" w:customStyle="1" w:styleId="xl80">
    <w:name w:val="xl80"/>
    <w:basedOn w:val="a"/>
    <w:uiPriority w:val="99"/>
    <w:rsid w:val="00B55D6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600"/>
    </w:pPr>
    <w:rPr>
      <w:sz w:val="18"/>
      <w:szCs w:val="18"/>
    </w:rPr>
  </w:style>
  <w:style w:type="paragraph" w:customStyle="1" w:styleId="xl81">
    <w:name w:val="xl81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2">
    <w:name w:val="xl82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3">
    <w:name w:val="xl83"/>
    <w:basedOn w:val="a"/>
    <w:uiPriority w:val="99"/>
    <w:rsid w:val="00B55D6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800"/>
    </w:pPr>
    <w:rPr>
      <w:sz w:val="18"/>
      <w:szCs w:val="18"/>
    </w:rPr>
  </w:style>
  <w:style w:type="paragraph" w:customStyle="1" w:styleId="xl84">
    <w:name w:val="xl84"/>
    <w:basedOn w:val="a"/>
    <w:uiPriority w:val="99"/>
    <w:rsid w:val="00B55D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B55D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ConsPlusTitle">
    <w:name w:val="ConsPlusTitle"/>
    <w:uiPriority w:val="99"/>
    <w:rsid w:val="00B55D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Body Text"/>
    <w:basedOn w:val="a"/>
    <w:link w:val="ad"/>
    <w:semiHidden/>
    <w:unhideWhenUsed/>
    <w:rsid w:val="00B55D6F"/>
    <w:pPr>
      <w:spacing w:after="120"/>
    </w:pPr>
    <w:rPr>
      <w:rFonts w:asciiTheme="minorHAnsi" w:eastAsiaTheme="minorHAnsi" w:hAnsiTheme="minorHAnsi" w:cstheme="minorBidi"/>
      <w:sz w:val="28"/>
      <w:szCs w:val="22"/>
      <w:lang w:val="x-none" w:eastAsia="x-none"/>
    </w:rPr>
  </w:style>
  <w:style w:type="character" w:customStyle="1" w:styleId="15">
    <w:name w:val="Основной текст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"/>
    <w:semiHidden/>
    <w:unhideWhenUsed/>
    <w:rsid w:val="00B55D6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6">
    <w:name w:val="Основной текст с отступом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B55D6F"/>
    <w:rPr>
      <w:rFonts w:ascii="Times New Roman" w:hAnsi="Times New Roman" w:cs="Times New Roman" w:hint="default"/>
      <w:b/>
      <w:bCs/>
      <w:sz w:val="26"/>
      <w:szCs w:val="26"/>
    </w:rPr>
  </w:style>
  <w:style w:type="paragraph" w:styleId="32">
    <w:name w:val="Body Text 3"/>
    <w:basedOn w:val="a"/>
    <w:link w:val="31"/>
    <w:semiHidden/>
    <w:unhideWhenUsed/>
    <w:rsid w:val="00B55D6F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semiHidden/>
    <w:rsid w:val="00B55D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4">
    <w:name w:val="Font Style14"/>
    <w:rsid w:val="00B55D6F"/>
    <w:rPr>
      <w:rFonts w:ascii="Times New Roman" w:hAnsi="Times New Roman" w:cs="Times New Roman" w:hint="default"/>
      <w:b/>
      <w:bCs/>
      <w:sz w:val="24"/>
      <w:szCs w:val="24"/>
    </w:rPr>
  </w:style>
  <w:style w:type="paragraph" w:styleId="22">
    <w:name w:val="Body Text 2"/>
    <w:basedOn w:val="a"/>
    <w:link w:val="21"/>
    <w:semiHidden/>
    <w:unhideWhenUsed/>
    <w:rsid w:val="00B55D6F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3"/>
    <w:semiHidden/>
    <w:unhideWhenUsed/>
    <w:rsid w:val="00B55D6F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semiHidden/>
    <w:rsid w:val="00B55D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Title"/>
    <w:basedOn w:val="a"/>
    <w:next w:val="a"/>
    <w:link w:val="ab"/>
    <w:qFormat/>
    <w:rsid w:val="00B55D6F"/>
    <w:pPr>
      <w:pBdr>
        <w:bottom w:val="single" w:sz="8" w:space="4" w:color="4F81BD" w:themeColor="accent1"/>
      </w:pBdr>
      <w:spacing w:after="300"/>
      <w:contextualSpacing/>
    </w:pPr>
    <w:rPr>
      <w:rFonts w:asciiTheme="minorHAnsi" w:eastAsiaTheme="minorHAnsi" w:hAnsiTheme="minorHAnsi" w:cstheme="minorBidi"/>
      <w:b/>
      <w:sz w:val="28"/>
      <w:szCs w:val="22"/>
      <w:lang w:val="x-none" w:eastAsia="x-none"/>
    </w:rPr>
  </w:style>
  <w:style w:type="character" w:customStyle="1" w:styleId="17">
    <w:name w:val="Название Знак1"/>
    <w:basedOn w:val="a0"/>
    <w:rsid w:val="00B55D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2">
    <w:name w:val="Balloon Text"/>
    <w:basedOn w:val="a"/>
    <w:link w:val="af1"/>
    <w:semiHidden/>
    <w:unhideWhenUsed/>
    <w:rsid w:val="00B55D6F"/>
    <w:rPr>
      <w:rFonts w:ascii="Tahoma" w:eastAsiaTheme="minorHAnsi" w:hAnsi="Tahoma" w:cs="Tahoma"/>
      <w:sz w:val="16"/>
      <w:szCs w:val="16"/>
      <w:lang w:val="x-none" w:eastAsia="x-none"/>
    </w:rPr>
  </w:style>
  <w:style w:type="character" w:customStyle="1" w:styleId="18">
    <w:name w:val="Текст выноски Знак1"/>
    <w:basedOn w:val="a0"/>
    <w:semiHidden/>
    <w:rsid w:val="00B55D6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B55D6F"/>
  </w:style>
  <w:style w:type="character" w:customStyle="1" w:styleId="paragraph">
    <w:name w:val="paragraph"/>
    <w:rsid w:val="00B55D6F"/>
  </w:style>
  <w:style w:type="character" w:customStyle="1" w:styleId="19">
    <w:name w:val="Номер страницы1"/>
    <w:rsid w:val="00B55D6F"/>
    <w:rPr>
      <w:rFonts w:ascii="Times New Roman" w:hAnsi="Times New Roman" w:cs="Times New Roman" w:hint="default"/>
    </w:rPr>
  </w:style>
  <w:style w:type="character" w:customStyle="1" w:styleId="firstitle1">
    <w:name w:val="firstitle1"/>
    <w:rsid w:val="00B55D6F"/>
    <w:rPr>
      <w:rFonts w:ascii="Arial" w:hAnsi="Arial" w:cs="Arial" w:hint="default"/>
      <w:caps/>
      <w:vanish w:val="0"/>
      <w:webHidden w:val="0"/>
      <w:color w:val="2B2B2B"/>
      <w:sz w:val="27"/>
      <w:szCs w:val="27"/>
      <w:bdr w:val="none" w:sz="0" w:space="0" w:color="auto" w:frame="1"/>
      <w:vertAlign w:val="baseline"/>
      <w:specVanish w:val="0"/>
    </w:rPr>
  </w:style>
  <w:style w:type="character" w:customStyle="1" w:styleId="secondtitle1">
    <w:name w:val="secondtitle1"/>
    <w:rsid w:val="00B55D6F"/>
    <w:rPr>
      <w:rFonts w:ascii="Arial" w:hAnsi="Arial" w:cs="Arial" w:hint="default"/>
      <w:caps/>
      <w:vanish w:val="0"/>
      <w:webHidden w:val="0"/>
      <w:color w:val="2B2B2B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firstblock1">
    <w:name w:val="firstblock1"/>
    <w:rsid w:val="00B55D6F"/>
    <w:rPr>
      <w:rFonts w:ascii="Arial" w:hAnsi="Arial" w:cs="Arial" w:hint="default"/>
      <w:vanish w:val="0"/>
      <w:webHidden w:val="0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secondblock1">
    <w:name w:val="secondblock1"/>
    <w:rsid w:val="00B55D6F"/>
    <w:rPr>
      <w:rFonts w:ascii="Arial" w:hAnsi="Arial" w:cs="Arial" w:hint="default"/>
      <w:vanish w:val="0"/>
      <w:webHidden w:val="0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s1">
    <w:name w:val="s1"/>
    <w:rsid w:val="00B55D6F"/>
    <w:rPr>
      <w:rFonts w:ascii="Times New Roman" w:hAnsi="Times New Roman" w:cs="Times New Roman" w:hint="default"/>
    </w:rPr>
  </w:style>
  <w:style w:type="paragraph" w:styleId="a8">
    <w:name w:val="header"/>
    <w:basedOn w:val="a"/>
    <w:link w:val="a7"/>
    <w:uiPriority w:val="99"/>
    <w:semiHidden/>
    <w:unhideWhenUsed/>
    <w:rsid w:val="00B55D6F"/>
    <w:pPr>
      <w:tabs>
        <w:tab w:val="center" w:pos="4677"/>
        <w:tab w:val="right" w:pos="9355"/>
      </w:tabs>
    </w:pPr>
    <w:rPr>
      <w:rFonts w:ascii="Calibri" w:eastAsiaTheme="minorHAnsi" w:hAnsi="Calibri" w:cs="Calibri"/>
      <w:sz w:val="22"/>
      <w:szCs w:val="22"/>
      <w:lang w:val="x-none" w:eastAsia="x-none"/>
    </w:rPr>
  </w:style>
  <w:style w:type="character" w:customStyle="1" w:styleId="1a">
    <w:name w:val="Верхний колонтитул Знак1"/>
    <w:basedOn w:val="a0"/>
    <w:uiPriority w:val="99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semiHidden/>
    <w:unhideWhenUsed/>
    <w:rsid w:val="00B55D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b">
    <w:name w:val="Нижний колонтитул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on-group">
    <w:name w:val="action-group"/>
    <w:rsid w:val="00B55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5D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55D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55D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55D6F"/>
    <w:pPr>
      <w:keepNext/>
      <w:ind w:firstLine="720"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5D6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55D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55D6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B55D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B55D6F"/>
    <w:rPr>
      <w:rFonts w:ascii="Arial" w:hAnsi="Arial" w:cs="Arial" w:hint="default"/>
      <w:color w:val="558CAE"/>
      <w:sz w:val="24"/>
      <w:szCs w:val="24"/>
      <w:u w:val="single"/>
      <w:bdr w:val="none" w:sz="0" w:space="0" w:color="auto" w:frame="1"/>
      <w:vertAlign w:val="baseline"/>
    </w:rPr>
  </w:style>
  <w:style w:type="character" w:styleId="a4">
    <w:name w:val="FollowedHyperlink"/>
    <w:uiPriority w:val="99"/>
    <w:semiHidden/>
    <w:unhideWhenUsed/>
    <w:rsid w:val="00B55D6F"/>
    <w:rPr>
      <w:color w:val="800080"/>
      <w:u w:val="single"/>
    </w:rPr>
  </w:style>
  <w:style w:type="character" w:customStyle="1" w:styleId="a5">
    <w:name w:val="Обычный (веб) Знак"/>
    <w:aliases w:val="Знак Знак"/>
    <w:link w:val="a6"/>
    <w:uiPriority w:val="99"/>
    <w:semiHidden/>
    <w:locked/>
    <w:rsid w:val="00B55D6F"/>
    <w:rPr>
      <w:sz w:val="24"/>
      <w:szCs w:val="24"/>
      <w:lang w:val="x-none" w:eastAsia="x-none"/>
    </w:rPr>
  </w:style>
  <w:style w:type="paragraph" w:styleId="a6">
    <w:name w:val="Normal (Web)"/>
    <w:aliases w:val="Знак"/>
    <w:basedOn w:val="a"/>
    <w:link w:val="a5"/>
    <w:uiPriority w:val="99"/>
    <w:semiHidden/>
    <w:unhideWhenUsed/>
    <w:qFormat/>
    <w:rsid w:val="00B55D6F"/>
    <w:pPr>
      <w:ind w:left="720"/>
      <w:contextualSpacing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a7">
    <w:name w:val="Верхний колонтитул Знак"/>
    <w:basedOn w:val="a0"/>
    <w:link w:val="a8"/>
    <w:uiPriority w:val="99"/>
    <w:semiHidden/>
    <w:locked/>
    <w:rsid w:val="00B55D6F"/>
    <w:rPr>
      <w:rFonts w:ascii="Calibri" w:hAnsi="Calibri" w:cs="Calibri"/>
      <w:lang w:val="x-none" w:eastAsia="x-none"/>
    </w:rPr>
  </w:style>
  <w:style w:type="character" w:customStyle="1" w:styleId="a9">
    <w:name w:val="Нижний колонтитул Знак"/>
    <w:basedOn w:val="a0"/>
    <w:link w:val="aa"/>
    <w:semiHidden/>
    <w:locked/>
    <w:rsid w:val="00B55D6F"/>
    <w:rPr>
      <w:sz w:val="24"/>
      <w:szCs w:val="24"/>
      <w:lang w:val="x-none" w:eastAsia="x-none"/>
    </w:rPr>
  </w:style>
  <w:style w:type="character" w:customStyle="1" w:styleId="ab">
    <w:name w:val="Название Знак"/>
    <w:basedOn w:val="a0"/>
    <w:link w:val="ac"/>
    <w:locked/>
    <w:rsid w:val="00B55D6F"/>
    <w:rPr>
      <w:b/>
      <w:sz w:val="28"/>
      <w:lang w:val="x-none" w:eastAsia="x-none"/>
    </w:rPr>
  </w:style>
  <w:style w:type="character" w:customStyle="1" w:styleId="ad">
    <w:name w:val="Основной текст Знак"/>
    <w:basedOn w:val="a0"/>
    <w:link w:val="ae"/>
    <w:semiHidden/>
    <w:locked/>
    <w:rsid w:val="00B55D6F"/>
    <w:rPr>
      <w:sz w:val="28"/>
      <w:lang w:val="x-none" w:eastAsia="x-none"/>
    </w:rPr>
  </w:style>
  <w:style w:type="character" w:customStyle="1" w:styleId="af">
    <w:name w:val="Основной текст с отступом Знак"/>
    <w:basedOn w:val="a0"/>
    <w:link w:val="af0"/>
    <w:semiHidden/>
    <w:locked/>
    <w:rsid w:val="00B55D6F"/>
    <w:rPr>
      <w:sz w:val="24"/>
      <w:szCs w:val="24"/>
    </w:rPr>
  </w:style>
  <w:style w:type="character" w:customStyle="1" w:styleId="21">
    <w:name w:val="Основной текст 2 Знак"/>
    <w:basedOn w:val="a0"/>
    <w:link w:val="22"/>
    <w:semiHidden/>
    <w:locked/>
    <w:rsid w:val="00B55D6F"/>
    <w:rPr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locked/>
    <w:rsid w:val="00B55D6F"/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B55D6F"/>
    <w:rPr>
      <w:sz w:val="16"/>
      <w:szCs w:val="16"/>
    </w:rPr>
  </w:style>
  <w:style w:type="character" w:customStyle="1" w:styleId="af1">
    <w:name w:val="Текст выноски Знак"/>
    <w:basedOn w:val="a0"/>
    <w:link w:val="af2"/>
    <w:semiHidden/>
    <w:locked/>
    <w:rsid w:val="00B55D6F"/>
    <w:rPr>
      <w:rFonts w:ascii="Tahoma" w:hAnsi="Tahoma" w:cs="Tahoma"/>
      <w:sz w:val="16"/>
      <w:szCs w:val="16"/>
      <w:lang w:val="x-none" w:eastAsia="x-none"/>
    </w:rPr>
  </w:style>
  <w:style w:type="paragraph" w:customStyle="1" w:styleId="11">
    <w:name w:val="Знак1"/>
    <w:basedOn w:val="a"/>
    <w:uiPriority w:val="99"/>
    <w:rsid w:val="00B55D6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B55D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B55D6F"/>
    <w:pPr>
      <w:widowControl w:val="0"/>
      <w:autoSpaceDE w:val="0"/>
      <w:autoSpaceDN w:val="0"/>
      <w:adjustRightInd w:val="0"/>
      <w:spacing w:line="480" w:lineRule="exact"/>
      <w:ind w:firstLine="706"/>
      <w:jc w:val="both"/>
    </w:pPr>
  </w:style>
  <w:style w:type="character" w:customStyle="1" w:styleId="af3">
    <w:name w:val="Текст док Знак Знак"/>
    <w:link w:val="af4"/>
    <w:locked/>
    <w:rsid w:val="00B55D6F"/>
    <w:rPr>
      <w:bCs/>
      <w:color w:val="000000"/>
      <w:sz w:val="24"/>
      <w:szCs w:val="24"/>
    </w:rPr>
  </w:style>
  <w:style w:type="paragraph" w:customStyle="1" w:styleId="af4">
    <w:name w:val="Текст док Знак"/>
    <w:basedOn w:val="a"/>
    <w:link w:val="af3"/>
    <w:rsid w:val="00B55D6F"/>
    <w:pPr>
      <w:ind w:firstLine="709"/>
      <w:jc w:val="both"/>
    </w:pPr>
    <w:rPr>
      <w:rFonts w:asciiTheme="minorHAnsi" w:eastAsiaTheme="minorHAnsi" w:hAnsiTheme="minorHAnsi" w:cstheme="minorBidi"/>
      <w:bCs/>
      <w:color w:val="000000"/>
      <w:lang w:eastAsia="en-US"/>
    </w:rPr>
  </w:style>
  <w:style w:type="paragraph" w:customStyle="1" w:styleId="Style10">
    <w:name w:val="Style10"/>
    <w:basedOn w:val="a"/>
    <w:uiPriority w:val="99"/>
    <w:rsid w:val="00B55D6F"/>
    <w:pPr>
      <w:widowControl w:val="0"/>
      <w:autoSpaceDE w:val="0"/>
      <w:autoSpaceDN w:val="0"/>
      <w:adjustRightInd w:val="0"/>
    </w:pPr>
  </w:style>
  <w:style w:type="paragraph" w:customStyle="1" w:styleId="western">
    <w:name w:val="western"/>
    <w:basedOn w:val="a"/>
    <w:uiPriority w:val="99"/>
    <w:rsid w:val="00B55D6F"/>
    <w:pPr>
      <w:spacing w:before="100" w:beforeAutospacing="1" w:after="100" w:afterAutospacing="1"/>
    </w:pPr>
  </w:style>
  <w:style w:type="character" w:customStyle="1" w:styleId="af5">
    <w:name w:val="Основной текст_"/>
    <w:link w:val="41"/>
    <w:locked/>
    <w:rsid w:val="00B55D6F"/>
    <w:rPr>
      <w:spacing w:val="5"/>
      <w:shd w:val="clear" w:color="auto" w:fill="FFFFFF"/>
    </w:rPr>
  </w:style>
  <w:style w:type="paragraph" w:customStyle="1" w:styleId="41">
    <w:name w:val="Основной текст4"/>
    <w:basedOn w:val="a"/>
    <w:link w:val="af5"/>
    <w:rsid w:val="00B55D6F"/>
    <w:pPr>
      <w:widowControl w:val="0"/>
      <w:shd w:val="clear" w:color="auto" w:fill="FFFFFF"/>
      <w:spacing w:after="240" w:line="374" w:lineRule="exact"/>
      <w:ind w:firstLine="560"/>
      <w:jc w:val="both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paragraph" w:customStyle="1" w:styleId="12">
    <w:name w:val="Обычный1"/>
    <w:uiPriority w:val="99"/>
    <w:rsid w:val="00B55D6F"/>
    <w:pPr>
      <w:widowControl w:val="0"/>
      <w:snapToGrid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andard">
    <w:name w:val="Standard"/>
    <w:uiPriority w:val="99"/>
    <w:rsid w:val="00B55D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customStyle="1" w:styleId="13">
    <w:name w:val="Без интервала1"/>
    <w:uiPriority w:val="99"/>
    <w:rsid w:val="00B55D6F"/>
    <w:pPr>
      <w:suppressAutoHyphens/>
      <w:autoSpaceDN w:val="0"/>
      <w:spacing w:after="0" w:line="240" w:lineRule="auto"/>
    </w:pPr>
    <w:rPr>
      <w:rFonts w:ascii="Calibri" w:eastAsia="Calibri" w:hAnsi="Calibri" w:cs="Calibri"/>
      <w:kern w:val="3"/>
      <w:lang w:eastAsia="zh-CN"/>
    </w:rPr>
  </w:style>
  <w:style w:type="paragraph" w:customStyle="1" w:styleId="14">
    <w:name w:val="Абзац списка1"/>
    <w:basedOn w:val="Standard"/>
    <w:uiPriority w:val="99"/>
    <w:rsid w:val="00B55D6F"/>
    <w:pPr>
      <w:ind w:left="720"/>
      <w:jc w:val="both"/>
    </w:pPr>
    <w:rPr>
      <w:rFonts w:ascii="Calibri" w:eastAsia="Calibri" w:hAnsi="Calibri"/>
    </w:rPr>
  </w:style>
  <w:style w:type="paragraph" w:customStyle="1" w:styleId="xl63">
    <w:name w:val="xl63"/>
    <w:basedOn w:val="a"/>
    <w:uiPriority w:val="99"/>
    <w:rsid w:val="00B55D6F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uiPriority w:val="99"/>
    <w:rsid w:val="00B55D6F"/>
    <w:pP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B55D6F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uiPriority w:val="99"/>
    <w:rsid w:val="00B55D6F"/>
    <w:pPr>
      <w:spacing w:before="100" w:beforeAutospacing="1" w:after="100" w:afterAutospacing="1"/>
    </w:pPr>
    <w:rPr>
      <w:color w:val="C8C8C8"/>
      <w:sz w:val="16"/>
      <w:szCs w:val="16"/>
    </w:rPr>
  </w:style>
  <w:style w:type="paragraph" w:customStyle="1" w:styleId="xl67">
    <w:name w:val="xl67"/>
    <w:basedOn w:val="a"/>
    <w:uiPriority w:val="99"/>
    <w:rsid w:val="00B55D6F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uiPriority w:val="99"/>
    <w:rsid w:val="00B55D6F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uiPriority w:val="99"/>
    <w:rsid w:val="00B55D6F"/>
    <w:pPr>
      <w:pBdr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uiPriority w:val="99"/>
    <w:rsid w:val="00B55D6F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a"/>
    <w:uiPriority w:val="99"/>
    <w:rsid w:val="00B55D6F"/>
    <w:pPr>
      <w:pBdr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uiPriority w:val="99"/>
    <w:rsid w:val="00B55D6F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200"/>
    </w:pPr>
    <w:rPr>
      <w:sz w:val="18"/>
      <w:szCs w:val="18"/>
    </w:rPr>
  </w:style>
  <w:style w:type="paragraph" w:customStyle="1" w:styleId="xl78">
    <w:name w:val="xl78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9">
    <w:name w:val="xl79"/>
    <w:basedOn w:val="a"/>
    <w:uiPriority w:val="99"/>
    <w:rsid w:val="00B55D6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400"/>
    </w:pPr>
    <w:rPr>
      <w:sz w:val="18"/>
      <w:szCs w:val="18"/>
    </w:rPr>
  </w:style>
  <w:style w:type="paragraph" w:customStyle="1" w:styleId="xl80">
    <w:name w:val="xl80"/>
    <w:basedOn w:val="a"/>
    <w:uiPriority w:val="99"/>
    <w:rsid w:val="00B55D6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600"/>
    </w:pPr>
    <w:rPr>
      <w:sz w:val="18"/>
      <w:szCs w:val="18"/>
    </w:rPr>
  </w:style>
  <w:style w:type="paragraph" w:customStyle="1" w:styleId="xl81">
    <w:name w:val="xl81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2">
    <w:name w:val="xl82"/>
    <w:basedOn w:val="a"/>
    <w:uiPriority w:val="99"/>
    <w:rsid w:val="00B55D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3">
    <w:name w:val="xl83"/>
    <w:basedOn w:val="a"/>
    <w:uiPriority w:val="99"/>
    <w:rsid w:val="00B55D6F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800"/>
    </w:pPr>
    <w:rPr>
      <w:sz w:val="18"/>
      <w:szCs w:val="18"/>
    </w:rPr>
  </w:style>
  <w:style w:type="paragraph" w:customStyle="1" w:styleId="xl84">
    <w:name w:val="xl84"/>
    <w:basedOn w:val="a"/>
    <w:uiPriority w:val="99"/>
    <w:rsid w:val="00B55D6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B55D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ConsPlusTitle">
    <w:name w:val="ConsPlusTitle"/>
    <w:uiPriority w:val="99"/>
    <w:rsid w:val="00B55D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Body Text"/>
    <w:basedOn w:val="a"/>
    <w:link w:val="ad"/>
    <w:semiHidden/>
    <w:unhideWhenUsed/>
    <w:rsid w:val="00B55D6F"/>
    <w:pPr>
      <w:spacing w:after="120"/>
    </w:pPr>
    <w:rPr>
      <w:rFonts w:asciiTheme="minorHAnsi" w:eastAsiaTheme="minorHAnsi" w:hAnsiTheme="minorHAnsi" w:cstheme="minorBidi"/>
      <w:sz w:val="28"/>
      <w:szCs w:val="22"/>
      <w:lang w:val="x-none" w:eastAsia="x-none"/>
    </w:rPr>
  </w:style>
  <w:style w:type="character" w:customStyle="1" w:styleId="15">
    <w:name w:val="Основной текст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"/>
    <w:semiHidden/>
    <w:unhideWhenUsed/>
    <w:rsid w:val="00B55D6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6">
    <w:name w:val="Основной текст с отступом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B55D6F"/>
    <w:rPr>
      <w:rFonts w:ascii="Times New Roman" w:hAnsi="Times New Roman" w:cs="Times New Roman" w:hint="default"/>
      <w:b/>
      <w:bCs/>
      <w:sz w:val="26"/>
      <w:szCs w:val="26"/>
    </w:rPr>
  </w:style>
  <w:style w:type="paragraph" w:styleId="32">
    <w:name w:val="Body Text 3"/>
    <w:basedOn w:val="a"/>
    <w:link w:val="31"/>
    <w:semiHidden/>
    <w:unhideWhenUsed/>
    <w:rsid w:val="00B55D6F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semiHidden/>
    <w:rsid w:val="00B55D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4">
    <w:name w:val="Font Style14"/>
    <w:rsid w:val="00B55D6F"/>
    <w:rPr>
      <w:rFonts w:ascii="Times New Roman" w:hAnsi="Times New Roman" w:cs="Times New Roman" w:hint="default"/>
      <w:b/>
      <w:bCs/>
      <w:sz w:val="24"/>
      <w:szCs w:val="24"/>
    </w:rPr>
  </w:style>
  <w:style w:type="paragraph" w:styleId="22">
    <w:name w:val="Body Text 2"/>
    <w:basedOn w:val="a"/>
    <w:link w:val="21"/>
    <w:semiHidden/>
    <w:unhideWhenUsed/>
    <w:rsid w:val="00B55D6F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3"/>
    <w:semiHidden/>
    <w:unhideWhenUsed/>
    <w:rsid w:val="00B55D6F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semiHidden/>
    <w:rsid w:val="00B55D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Title"/>
    <w:basedOn w:val="a"/>
    <w:next w:val="a"/>
    <w:link w:val="ab"/>
    <w:qFormat/>
    <w:rsid w:val="00B55D6F"/>
    <w:pPr>
      <w:pBdr>
        <w:bottom w:val="single" w:sz="8" w:space="4" w:color="4F81BD" w:themeColor="accent1"/>
      </w:pBdr>
      <w:spacing w:after="300"/>
      <w:contextualSpacing/>
    </w:pPr>
    <w:rPr>
      <w:rFonts w:asciiTheme="minorHAnsi" w:eastAsiaTheme="minorHAnsi" w:hAnsiTheme="minorHAnsi" w:cstheme="minorBidi"/>
      <w:b/>
      <w:sz w:val="28"/>
      <w:szCs w:val="22"/>
      <w:lang w:val="x-none" w:eastAsia="x-none"/>
    </w:rPr>
  </w:style>
  <w:style w:type="character" w:customStyle="1" w:styleId="17">
    <w:name w:val="Название Знак1"/>
    <w:basedOn w:val="a0"/>
    <w:rsid w:val="00B55D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2">
    <w:name w:val="Balloon Text"/>
    <w:basedOn w:val="a"/>
    <w:link w:val="af1"/>
    <w:semiHidden/>
    <w:unhideWhenUsed/>
    <w:rsid w:val="00B55D6F"/>
    <w:rPr>
      <w:rFonts w:ascii="Tahoma" w:eastAsiaTheme="minorHAnsi" w:hAnsi="Tahoma" w:cs="Tahoma"/>
      <w:sz w:val="16"/>
      <w:szCs w:val="16"/>
      <w:lang w:val="x-none" w:eastAsia="x-none"/>
    </w:rPr>
  </w:style>
  <w:style w:type="character" w:customStyle="1" w:styleId="18">
    <w:name w:val="Текст выноски Знак1"/>
    <w:basedOn w:val="a0"/>
    <w:semiHidden/>
    <w:rsid w:val="00B55D6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B55D6F"/>
  </w:style>
  <w:style w:type="character" w:customStyle="1" w:styleId="paragraph">
    <w:name w:val="paragraph"/>
    <w:rsid w:val="00B55D6F"/>
  </w:style>
  <w:style w:type="character" w:customStyle="1" w:styleId="19">
    <w:name w:val="Номер страницы1"/>
    <w:rsid w:val="00B55D6F"/>
    <w:rPr>
      <w:rFonts w:ascii="Times New Roman" w:hAnsi="Times New Roman" w:cs="Times New Roman" w:hint="default"/>
    </w:rPr>
  </w:style>
  <w:style w:type="character" w:customStyle="1" w:styleId="firstitle1">
    <w:name w:val="firstitle1"/>
    <w:rsid w:val="00B55D6F"/>
    <w:rPr>
      <w:rFonts w:ascii="Arial" w:hAnsi="Arial" w:cs="Arial" w:hint="default"/>
      <w:caps/>
      <w:vanish w:val="0"/>
      <w:webHidden w:val="0"/>
      <w:color w:val="2B2B2B"/>
      <w:sz w:val="27"/>
      <w:szCs w:val="27"/>
      <w:bdr w:val="none" w:sz="0" w:space="0" w:color="auto" w:frame="1"/>
      <w:vertAlign w:val="baseline"/>
      <w:specVanish w:val="0"/>
    </w:rPr>
  </w:style>
  <w:style w:type="character" w:customStyle="1" w:styleId="secondtitle1">
    <w:name w:val="secondtitle1"/>
    <w:rsid w:val="00B55D6F"/>
    <w:rPr>
      <w:rFonts w:ascii="Arial" w:hAnsi="Arial" w:cs="Arial" w:hint="default"/>
      <w:caps/>
      <w:vanish w:val="0"/>
      <w:webHidden w:val="0"/>
      <w:color w:val="2B2B2B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firstblock1">
    <w:name w:val="firstblock1"/>
    <w:rsid w:val="00B55D6F"/>
    <w:rPr>
      <w:rFonts w:ascii="Arial" w:hAnsi="Arial" w:cs="Arial" w:hint="default"/>
      <w:vanish w:val="0"/>
      <w:webHidden w:val="0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secondblock1">
    <w:name w:val="secondblock1"/>
    <w:rsid w:val="00B55D6F"/>
    <w:rPr>
      <w:rFonts w:ascii="Arial" w:hAnsi="Arial" w:cs="Arial" w:hint="default"/>
      <w:vanish w:val="0"/>
      <w:webHidden w:val="0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s1">
    <w:name w:val="s1"/>
    <w:rsid w:val="00B55D6F"/>
    <w:rPr>
      <w:rFonts w:ascii="Times New Roman" w:hAnsi="Times New Roman" w:cs="Times New Roman" w:hint="default"/>
    </w:rPr>
  </w:style>
  <w:style w:type="paragraph" w:styleId="a8">
    <w:name w:val="header"/>
    <w:basedOn w:val="a"/>
    <w:link w:val="a7"/>
    <w:uiPriority w:val="99"/>
    <w:semiHidden/>
    <w:unhideWhenUsed/>
    <w:rsid w:val="00B55D6F"/>
    <w:pPr>
      <w:tabs>
        <w:tab w:val="center" w:pos="4677"/>
        <w:tab w:val="right" w:pos="9355"/>
      </w:tabs>
    </w:pPr>
    <w:rPr>
      <w:rFonts w:ascii="Calibri" w:eastAsiaTheme="minorHAnsi" w:hAnsi="Calibri" w:cs="Calibri"/>
      <w:sz w:val="22"/>
      <w:szCs w:val="22"/>
      <w:lang w:val="x-none" w:eastAsia="x-none"/>
    </w:rPr>
  </w:style>
  <w:style w:type="character" w:customStyle="1" w:styleId="1a">
    <w:name w:val="Верхний колонтитул Знак1"/>
    <w:basedOn w:val="a0"/>
    <w:uiPriority w:val="99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semiHidden/>
    <w:unhideWhenUsed/>
    <w:rsid w:val="00B55D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b">
    <w:name w:val="Нижний колонтитул Знак1"/>
    <w:basedOn w:val="a0"/>
    <w:semiHidden/>
    <w:rsid w:val="00B55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on-group">
    <w:name w:val="action-group"/>
    <w:rsid w:val="00B55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1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11975</Words>
  <Characters>68262</Characters>
  <Application>Microsoft Office Word</Application>
  <DocSecurity>0</DocSecurity>
  <Lines>568</Lines>
  <Paragraphs>160</Paragraphs>
  <ScaleCrop>false</ScaleCrop>
  <Company/>
  <LinksUpToDate>false</LinksUpToDate>
  <CharactersWithSpaces>80077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2019-10-09T06:52:00Z</dcterms:created>
  <dcterms:modified xsi:type="dcterms:W3CDTF">2019-10-09T06:56:00Z</dcterms:modified>
</cp:coreProperties>
</file>