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  <w:bookmarkStart w:id="0" w:name="_GoBack"/>
      <w:bookmarkEnd w:id="0"/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АЗГЭ-ЛЮБ/24-1291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1FA25B2" w14:textId="378366F5" w:rsidR="005B748C" w:rsidRDefault="00BA3C5D" w:rsidP="002F0ED1">
      <w:pPr>
        <w:autoSpaceDE w:val="0"/>
        <w:jc w:val="center"/>
        <w:rPr>
          <w:color w:val="0000FF"/>
          <w:sz w:val="28"/>
          <w:szCs w:val="28"/>
          <w:lang w:eastAsia="ru-RU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>расположенного 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>Г.о. Люберцы,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>вид 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</w:p>
    <w:p w14:paraId="048632ED" w14:textId="7484BCC2" w:rsidR="00CA0B6F" w:rsidRPr="0010463C" w:rsidRDefault="00205494" w:rsidP="00205494">
      <w:pPr>
        <w:autoSpaceDE w:val="0"/>
        <w:jc w:val="center"/>
        <w:rPr>
          <w:color w:val="0000FF"/>
          <w:sz w:val="28"/>
          <w:szCs w:val="28"/>
        </w:rPr>
      </w:pPr>
      <w:r w:rsidRPr="00D76C50">
        <w:rPr>
          <w:color w:val="0000FF"/>
          <w:sz w:val="28"/>
          <w:szCs w:val="28"/>
          <w:lang w:eastAsia="ru-RU"/>
        </w:rPr>
        <w:t xml:space="preserve"> использования:</w:t>
      </w:r>
      <w:r w:rsidR="00CA0B6F" w:rsidRPr="009B293A">
        <w:rPr>
          <w:color w:val="0000FF"/>
          <w:sz w:val="28"/>
          <w:szCs w:val="28"/>
        </w:rPr>
        <w:t xml:space="preserve"> </w:t>
      </w:r>
      <w:r>
        <w:rPr>
          <w:color w:val="0000FF"/>
          <w:sz w:val="28"/>
          <w:szCs w:val="28"/>
        </w:rPr>
        <w:t xml:space="preserve"> Для индивидуального жилищного строительства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1" w:name="_Hlk80049706"/>
            <w:r>
              <w:rPr>
                <w:bCs/>
                <w:sz w:val="26"/>
                <w:szCs w:val="26"/>
              </w:rPr>
              <w:t>easuz.mosreg.ru/torgi</w:t>
            </w:r>
            <w:bookmarkEnd w:id="1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00300060117146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08.04.2024</w:t>
            </w:r>
          </w:p>
        </w:tc>
      </w:tr>
      <w:tr w:rsidR="00860920" w:rsidRPr="00367C74" w14:paraId="279470CA" w14:textId="77777777" w:rsidTr="00DE6155">
        <w:tc>
          <w:tcPr>
            <w:tcW w:w="5352" w:type="dxa"/>
          </w:tcPr>
          <w:p w14:paraId="13171D38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4D63916E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23.05.2024</w:t>
            </w:r>
          </w:p>
        </w:tc>
      </w:tr>
      <w:tr w:rsidR="00860920" w:rsidRPr="00367C74" w14:paraId="3CC38D2B" w14:textId="77777777" w:rsidTr="00DE6155">
        <w:tc>
          <w:tcPr>
            <w:tcW w:w="5352" w:type="dxa"/>
          </w:tcPr>
          <w:p w14:paraId="15208E3C" w14:textId="03746176" w:rsidR="00860920" w:rsidRPr="00367C74" w:rsidRDefault="00860920" w:rsidP="00D60B8F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 аукциона:</w:t>
            </w:r>
          </w:p>
        </w:tc>
        <w:tc>
          <w:tcPr>
            <w:tcW w:w="5352" w:type="dxa"/>
          </w:tcPr>
          <w:p w14:paraId="1CFD4EC5" w14:textId="46D01FEF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27.05.2024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666D92C1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2024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2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2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39AA3A5A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</w:t>
      </w:r>
      <w:r>
        <w:rPr>
          <w:color w:val="0000FF"/>
          <w:sz w:val="22"/>
          <w:szCs w:val="22"/>
          <w:lang w:eastAsia="ru-RU"/>
        </w:rPr>
        <w:br/>
      </w:r>
      <w:r w:rsidRPr="00CA0B6F">
        <w:rPr>
          <w:color w:val="0000FF"/>
          <w:sz w:val="22"/>
          <w:szCs w:val="22"/>
          <w:lang w:eastAsia="ru-RU"/>
        </w:rPr>
        <w:t xml:space="preserve">от </w:t>
      </w:r>
      <w:r>
        <w:rPr>
          <w:color w:val="0000FF"/>
          <w:sz w:val="22"/>
          <w:szCs w:val="22"/>
          <w:lang w:eastAsia="ru-RU"/>
        </w:rPr>
        <w:t xml:space="preserve">02.04.2024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59-З п. 14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3" w:name="__RefHeading__48_1698952488"/>
      <w:bookmarkStart w:id="4" w:name="__RefHeading__35_520497706"/>
      <w:bookmarkStart w:id="5" w:name="__RefHeading__50_1698952488"/>
      <w:bookmarkStart w:id="6" w:name="_Toc423619374"/>
      <w:bookmarkStart w:id="7" w:name="_Toc426462869"/>
      <w:bookmarkStart w:id="8" w:name="_Toc428969604"/>
      <w:bookmarkEnd w:id="3"/>
      <w:bookmarkEnd w:id="4"/>
      <w:bookmarkEnd w:id="5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9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6"/>
      <w:bookmarkEnd w:id="7"/>
      <w:bookmarkEnd w:id="8"/>
      <w:bookmarkEnd w:id="9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551E01">
      <w:pPr>
        <w:suppressAutoHyphens w:val="0"/>
        <w:autoSpaceDE w:val="0"/>
        <w:autoSpaceDN w:val="0"/>
        <w:adjustRightInd w:val="0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КОМИТЕТ ПО УПРАВЛЕНИЮ ИМУЩЕСТВОМ АДМИНИСТРАЦИИ ГОРОДСКОГО ОКРУГА ЛЮБЕРЦЫ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140000, Московская область, Люберецкий район, город Люберцы, Октябрьский проспект, дом 190, кабинет 323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easuz.mosreg.ru/torgi</w:t>
      </w:r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lastRenderedPageBreak/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04D749B6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Г.о. Люберцы</w:t>
      </w:r>
      <w:r w:rsidR="00205494" w:rsidRPr="00D97A72">
        <w:rPr>
          <w:color w:val="0000FF"/>
          <w:sz w:val="22"/>
          <w:szCs w:val="22"/>
        </w:rPr>
        <w:t xml:space="preserve"> 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10" w:name="_Toc415224054"/>
      <w:bookmarkStart w:id="11" w:name="_Toc415682150"/>
      <w:bookmarkStart w:id="12" w:name="_Toc416972837"/>
      <w:bookmarkStart w:id="13" w:name="_Toc417030418"/>
      <w:bookmarkStart w:id="14" w:name="_Toc417047217"/>
      <w:bookmarkStart w:id="15" w:name="_Toc417059229"/>
      <w:bookmarkStart w:id="16" w:name="_Toc418676399"/>
      <w:bookmarkStart w:id="17" w:name="_Toc418676431"/>
      <w:bookmarkStart w:id="18" w:name="_Toc418676477"/>
      <w:bookmarkStart w:id="19" w:name="_Toc419295272"/>
      <w:bookmarkStart w:id="20" w:name="_Toc419479793"/>
      <w:bookmarkStart w:id="21" w:name="_Toc419480293"/>
      <w:bookmarkStart w:id="22" w:name="_Toc419726793"/>
      <w:bookmarkStart w:id="23" w:name="_Toc419803376"/>
      <w:bookmarkStart w:id="24" w:name="_Toc419803713"/>
      <w:bookmarkStart w:id="25" w:name="_Toc419895199"/>
      <w:bookmarkStart w:id="26" w:name="_Toc419970524"/>
      <w:bookmarkStart w:id="27" w:name="_Toc419971379"/>
      <w:bookmarkStart w:id="28" w:name="_Toc419971683"/>
      <w:bookmarkStart w:id="29" w:name="_Toc420055143"/>
      <w:bookmarkStart w:id="30" w:name="_Toc420060976"/>
      <w:bookmarkStart w:id="31" w:name="_Toc420088341"/>
      <w:bookmarkStart w:id="32" w:name="_Toc420088757"/>
      <w:bookmarkStart w:id="33" w:name="_Toc420088840"/>
      <w:bookmarkStart w:id="34" w:name="_Toc420330910"/>
      <w:bookmarkStart w:id="35" w:name="_Toc420331610"/>
      <w:bookmarkStart w:id="36" w:name="_Toc420512385"/>
      <w:bookmarkStart w:id="37" w:name="_Toc420519204"/>
      <w:bookmarkStart w:id="38" w:name="_Toc420593730"/>
      <w:bookmarkStart w:id="39" w:name="_Toc423615954"/>
      <w:bookmarkStart w:id="40" w:name="_Toc423619097"/>
      <w:bookmarkStart w:id="41" w:name="_Toc423619375"/>
      <w:bookmarkStart w:id="42" w:name="_Toc426462870"/>
      <w:bookmarkStart w:id="43" w:name="_Toc426463174"/>
      <w:bookmarkStart w:id="44" w:name="_Toc428969605"/>
    </w:p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p w14:paraId="45DE523D" w14:textId="4B0D6DC2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Московская область, г Люберцы, рп Томилино, ул Плеханова, городской округ Люберцы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1 478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50:22:0040303:619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использования:</w:t>
      </w:r>
      <w:r>
        <w:rPr>
          <w:color w:val="0000FF"/>
          <w:sz w:val="22"/>
          <w:szCs w:val="22"/>
        </w:rPr>
        <w:t xml:space="preserve"> Для индивидуального жилищного строительства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1C81945B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4CF35E41" w:rsidR="0035395E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Сведения о наличии или отсутствии ограничений оборотоспособности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оборотоспособности и градостроительных ограничениях земельного участка (прилагается), письме ОМС (прилагается), акте осмотра Земельного участка (прилагается): </w:t>
      </w:r>
    </w:p>
    <w:p w14:paraId="2F73BF54" w14:textId="77777777" w:rsidR="006260FF" w:rsidRPr="00C46995" w:rsidRDefault="006260FF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414908DC" w14:textId="77777777" w:rsidR="006260FF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-полностью расположен: Шестая подзона аэродрома Черное Шестая подзона; Москва (Домодедово) Приаэродромная территория аэродрома; "Раменское" Полосы воздушных подходов аэродрома экспериментальной авиации; </w:t>
      </w:r>
    </w:p>
    <w:p w14:paraId="0D9B820F" w14:textId="77777777" w:rsidR="006260FF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-частично расположен: водоохранная зона реки Пехорка;</w:t>
      </w:r>
    </w:p>
    <w:p w14:paraId="1DF3FF18" w14:textId="157AF1EE" w:rsidR="006260FF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-ограничения прав </w:t>
      </w:r>
      <w:r w:rsidR="006260FF">
        <w:rPr>
          <w:color w:val="0000FF"/>
          <w:sz w:val="22"/>
          <w:szCs w:val="22"/>
        </w:rPr>
        <w:t>на земельный участок,</w:t>
      </w:r>
      <w:r>
        <w:rPr>
          <w:color w:val="0000FF"/>
          <w:sz w:val="22"/>
          <w:szCs w:val="22"/>
        </w:rPr>
        <w:t xml:space="preserve"> предусмотренные ст.56 Земельного кодекса Российской Федерации.</w:t>
      </w:r>
    </w:p>
    <w:p w14:paraId="690A5889" w14:textId="067FB995" w:rsidR="006260FF" w:rsidRDefault="006260FF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6CFF4837" w14:textId="77777777" w:rsidR="006260FF" w:rsidRDefault="006260FF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0FF397B8" w14:textId="77777777" w:rsidR="006260FF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lastRenderedPageBreak/>
        <w:t>Использовать Земельный участок в соответствии с требованиями:</w:t>
      </w:r>
    </w:p>
    <w:p w14:paraId="66B9F81A" w14:textId="77777777" w:rsidR="006260FF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-Водного кодекса Российской Федерации от 03.06.2006 N 74-ФЗ.</w:t>
      </w:r>
    </w:p>
    <w:p w14:paraId="3EB612B1" w14:textId="01DD2F69" w:rsidR="006260FF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 xml:space="preserve">-Воздушного кодекса Российской Федерации от 19.03.1997 № 60-ФЗ, </w:t>
      </w:r>
    </w:p>
    <w:p w14:paraId="6C180BC6" w14:textId="1D7076A2" w:rsidR="00885F52" w:rsidRDefault="000412AD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</w:rPr>
        <w:t>-Федеральным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648B5B0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>в приложении к Сводной информации об оборотоспособности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269C653E" w14:textId="1E23D12C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900 000,00 руб. (Девятьсот тысяч руб. 00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27 000,00 руб. (Двадцать семь тысяч руб. 00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900 000,00 руб. (Девятьсот тысяч руб. 00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5" w:name="OLE_LINK9"/>
      <w:bookmarkStart w:id="46" w:name="OLE_LINK7"/>
      <w:bookmarkStart w:id="47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8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8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требованиями Раздела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08.04.2024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72E9941B" w14:textId="7C4C479E" w:rsidR="00FA27BE" w:rsidRPr="000E3CE0" w:rsidRDefault="008D20B2" w:rsidP="00BE5B57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8</w:t>
      </w:r>
      <w:r w:rsidRPr="000E3CE0">
        <w:rPr>
          <w:b/>
          <w:bCs/>
          <w:sz w:val="22"/>
          <w:szCs w:val="22"/>
        </w:rPr>
        <w:t xml:space="preserve">. </w:t>
      </w:r>
      <w:r w:rsidR="00F662B9" w:rsidRPr="000E3CE0">
        <w:rPr>
          <w:b/>
          <w:bCs/>
          <w:sz w:val="22"/>
          <w:szCs w:val="22"/>
        </w:rPr>
        <w:t>Дата и время окончания срока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F662B9" w:rsidRPr="000E3CE0">
        <w:rPr>
          <w:b/>
          <w:bCs/>
          <w:sz w:val="22"/>
          <w:szCs w:val="22"/>
        </w:rPr>
        <w:t>Заявок и начала их рассмотрения</w:t>
      </w:r>
      <w:r w:rsidR="007C76BF" w:rsidRPr="000E3CE0">
        <w:rPr>
          <w:b/>
          <w:bCs/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23.05.2024 18:00</w:t>
      </w:r>
      <w:r w:rsidR="00FA27BE" w:rsidRPr="000E3CE0">
        <w:rPr>
          <w:b/>
          <w:sz w:val="22"/>
          <w:szCs w:val="22"/>
        </w:rPr>
        <w:t>.</w:t>
      </w:r>
    </w:p>
    <w:p w14:paraId="3E189F96" w14:textId="77777777" w:rsidR="00FA27BE" w:rsidRPr="000E3CE0" w:rsidRDefault="00FA27BE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8BB8105" w14:textId="5C9059B8" w:rsidR="00FA27BE" w:rsidRPr="000E3CE0" w:rsidRDefault="008D20B2" w:rsidP="00BE5B57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9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Д</w:t>
      </w:r>
      <w:r w:rsidR="007C76BF" w:rsidRPr="000E3CE0">
        <w:rPr>
          <w:b/>
          <w:bCs/>
          <w:sz w:val="22"/>
          <w:szCs w:val="22"/>
        </w:rPr>
        <w:t xml:space="preserve">ата </w:t>
      </w:r>
      <w:r w:rsidR="00670216" w:rsidRPr="000E3CE0">
        <w:rPr>
          <w:b/>
          <w:bCs/>
          <w:sz w:val="22"/>
          <w:szCs w:val="22"/>
        </w:rPr>
        <w:t>окончания рассмотрения З</w:t>
      </w:r>
      <w:r w:rsidR="007C76BF" w:rsidRPr="000E3CE0">
        <w:rPr>
          <w:b/>
          <w:bCs/>
          <w:sz w:val="22"/>
          <w:szCs w:val="22"/>
        </w:rPr>
        <w:t xml:space="preserve">аявок: </w:t>
      </w:r>
      <w:r>
        <w:rPr>
          <w:b/>
          <w:color w:val="0000FF"/>
          <w:sz w:val="22"/>
          <w:szCs w:val="22"/>
        </w:rPr>
        <w:t>24.05.2024</w:t>
      </w:r>
      <w:r w:rsidR="007C4153" w:rsidRPr="007C4153">
        <w:rPr>
          <w:color w:val="0000FF"/>
          <w:sz w:val="22"/>
          <w:szCs w:val="22"/>
        </w:rPr>
        <w:t>.</w:t>
      </w:r>
    </w:p>
    <w:p w14:paraId="691ED0C0" w14:textId="77777777" w:rsidR="00FA27BE" w:rsidRPr="000E3CE0" w:rsidRDefault="00FA27BE" w:rsidP="00BE5B57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53095B83" w14:textId="177F51DD" w:rsidR="00FA27BE" w:rsidRPr="000E3CE0" w:rsidRDefault="008D20B2" w:rsidP="00BE5B57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0</w:t>
      </w:r>
      <w:r w:rsidRPr="000E3CE0">
        <w:rPr>
          <w:b/>
          <w:bCs/>
          <w:sz w:val="22"/>
          <w:szCs w:val="22"/>
        </w:rPr>
        <w:t>.</w:t>
      </w:r>
      <w:r w:rsidR="00FA27BE" w:rsidRPr="000E3CE0">
        <w:rPr>
          <w:b/>
          <w:bCs/>
          <w:sz w:val="22"/>
          <w:szCs w:val="22"/>
        </w:rPr>
        <w:t> </w:t>
      </w:r>
      <w:r w:rsidR="007C76BF" w:rsidRPr="000E3CE0">
        <w:rPr>
          <w:b/>
          <w:bCs/>
          <w:sz w:val="22"/>
          <w:szCs w:val="22"/>
        </w:rPr>
        <w:t xml:space="preserve">Место проведения аукциона: </w:t>
      </w:r>
      <w:r w:rsidR="00D274CB"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</w:t>
      </w:r>
      <w:r w:rsidR="0007308E">
        <w:rPr>
          <w:b/>
        </w:rPr>
        <w:t>.</w:t>
      </w:r>
      <w:r w:rsidR="008A1671" w:rsidRPr="000E3CE0">
        <w:rPr>
          <w:b/>
          <w:sz w:val="22"/>
          <w:szCs w:val="22"/>
        </w:rPr>
        <w:t xml:space="preserve"> </w:t>
      </w:r>
    </w:p>
    <w:p w14:paraId="432BC1F9" w14:textId="77777777" w:rsidR="00FA27BE" w:rsidRPr="000E3CE0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1AEEDAF0" w14:textId="054B8C92" w:rsidR="00FA27BE" w:rsidRDefault="00FA27BE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D2B33" w:rsidRPr="000E3CE0">
        <w:rPr>
          <w:b/>
          <w:bCs/>
          <w:sz w:val="22"/>
          <w:szCs w:val="22"/>
        </w:rPr>
        <w:t>1</w:t>
      </w:r>
      <w:r w:rsidR="00A07F3F" w:rsidRPr="000E3CE0">
        <w:rPr>
          <w:b/>
          <w:bCs/>
          <w:sz w:val="22"/>
          <w:szCs w:val="22"/>
        </w:rPr>
        <w:t>1</w:t>
      </w:r>
      <w:r w:rsidRPr="000E3CE0">
        <w:rPr>
          <w:b/>
          <w:bCs/>
          <w:sz w:val="22"/>
          <w:szCs w:val="22"/>
        </w:rPr>
        <w:t xml:space="preserve">. Дата и время </w:t>
      </w:r>
      <w:r w:rsidR="00413F29" w:rsidRPr="000E3CE0">
        <w:rPr>
          <w:b/>
          <w:bCs/>
          <w:sz w:val="22"/>
          <w:szCs w:val="22"/>
        </w:rPr>
        <w:t xml:space="preserve">начала </w:t>
      </w:r>
      <w:r w:rsidRPr="000E3CE0">
        <w:rPr>
          <w:b/>
          <w:bCs/>
          <w:sz w:val="22"/>
          <w:szCs w:val="22"/>
        </w:rPr>
        <w:t xml:space="preserve">проведения аукциона: </w:t>
      </w:r>
      <w:r>
        <w:rPr>
          <w:b/>
          <w:color w:val="0000FF"/>
          <w:sz w:val="22"/>
          <w:szCs w:val="22"/>
        </w:rPr>
        <w:t>27.05.2024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9" w:name="_Toc419295274"/>
      <w:bookmarkStart w:id="50" w:name="_Toc423619378"/>
      <w:bookmarkStart w:id="51" w:name="_Toc426462872"/>
      <w:bookmarkStart w:id="52" w:name="_Toc428969607"/>
      <w:bookmarkStart w:id="53" w:name="_Toc479691585"/>
      <w:bookmarkEnd w:id="45"/>
      <w:bookmarkEnd w:id="46"/>
      <w:bookmarkEnd w:id="47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9"/>
      <w:bookmarkEnd w:id="50"/>
      <w:bookmarkEnd w:id="51"/>
      <w:bookmarkEnd w:id="52"/>
      <w:bookmarkEnd w:id="53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4" w:name="_Toc423619379"/>
      <w:bookmarkStart w:id="55" w:name="_Toc426462873"/>
      <w:bookmarkStart w:id="56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7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4"/>
      <w:bookmarkEnd w:id="55"/>
      <w:bookmarkEnd w:id="56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7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27396736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8" w:name="_Toc470009552"/>
      <w:bookmarkStart w:id="59" w:name="_Toc419295277"/>
      <w:bookmarkStart w:id="60" w:name="_Toc423619381"/>
      <w:bookmarkStart w:id="61" w:name="_Toc426462874"/>
      <w:bookmarkStart w:id="62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8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учетом Раздела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lastRenderedPageBreak/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"Совкомбанк"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77777777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 и 14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</w:r>
      <w:r w:rsidRPr="00325D5A">
        <w:rPr>
          <w:bCs/>
          <w:sz w:val="22"/>
          <w:szCs w:val="22"/>
        </w:rPr>
        <w:lastRenderedPageBreak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«Совкомбанк»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3" w:name="__RefHeading__53_520497706"/>
      <w:bookmarkStart w:id="64" w:name="__RefHeading__68_1698952488"/>
      <w:bookmarkStart w:id="65" w:name="_Toc479691587"/>
      <w:bookmarkEnd w:id="59"/>
      <w:bookmarkEnd w:id="60"/>
      <w:bookmarkEnd w:id="61"/>
      <w:bookmarkEnd w:id="62"/>
      <w:bookmarkEnd w:id="63"/>
      <w:bookmarkEnd w:id="64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5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- документы, подтверждающие внесение задатка</w:t>
      </w:r>
      <w:r>
        <w:rPr>
          <w:bCs/>
          <w:sz w:val="20"/>
          <w:szCs w:val="22"/>
        </w:rPr>
        <w:t>.*</w:t>
      </w:r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6" w:name="_Toc423619380"/>
      <w:bookmarkStart w:id="67" w:name="_Toc426462877"/>
      <w:bookmarkStart w:id="68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Pr="00135748">
        <w:rPr>
          <w:sz w:val="22"/>
          <w:szCs w:val="22"/>
        </w:rPr>
        <w:t>непоступление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9" w:name="_Toc419295282"/>
      <w:bookmarkStart w:id="70" w:name="_Toc423619386"/>
      <w:bookmarkStart w:id="71" w:name="_Toc426462880"/>
      <w:bookmarkStart w:id="72" w:name="_Toc428969615"/>
      <w:bookmarkEnd w:id="66"/>
      <w:bookmarkEnd w:id="67"/>
      <w:bookmarkEnd w:id="68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3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9"/>
      <w:bookmarkEnd w:id="70"/>
      <w:bookmarkEnd w:id="71"/>
      <w:bookmarkEnd w:id="72"/>
      <w:bookmarkEnd w:id="73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4" w:name="_Toc426365734"/>
      <w:bookmarkStart w:id="75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6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6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6C92C5AD" w14:textId="12BA794E" w:rsidR="00D21D39" w:rsidRPr="000E3CE0" w:rsidRDefault="007C1A18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 xml:space="preserve">. </w:t>
      </w:r>
      <w:r w:rsidR="00D21D39" w:rsidRPr="000E3CE0">
        <w:rPr>
          <w:bCs/>
          <w:sz w:val="22"/>
          <w:szCs w:val="22"/>
        </w:rPr>
        <w:t>Процедура аукциона</w:t>
      </w:r>
      <w:r w:rsidR="000D4B25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проводится в день и время, указанные в </w:t>
      </w:r>
      <w:r w:rsidR="000D4B25" w:rsidRPr="000E3CE0">
        <w:rPr>
          <w:bCs/>
          <w:sz w:val="22"/>
          <w:szCs w:val="22"/>
        </w:rPr>
        <w:t>пункте 2.1</w:t>
      </w:r>
      <w:r w:rsidR="00A07F3F" w:rsidRPr="000E3CE0">
        <w:rPr>
          <w:bCs/>
          <w:sz w:val="22"/>
          <w:szCs w:val="22"/>
        </w:rPr>
        <w:t>1</w:t>
      </w:r>
      <w:r w:rsidR="000D4B25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Извещени</w:t>
      </w:r>
      <w:r w:rsidR="000D4B25" w:rsidRPr="000E3CE0">
        <w:rPr>
          <w:bCs/>
          <w:sz w:val="22"/>
          <w:szCs w:val="22"/>
        </w:rPr>
        <w:t>я</w:t>
      </w:r>
      <w:r w:rsidR="00D21D39" w:rsidRPr="000E3CE0">
        <w:rPr>
          <w:bCs/>
          <w:sz w:val="22"/>
          <w:szCs w:val="22"/>
        </w:rPr>
        <w:t>. Время проведения аукциона не должно совпадать со временем проведения профилактических работ на электронной площадке.</w:t>
      </w:r>
    </w:p>
    <w:p w14:paraId="55B66805" w14:textId="0805A868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4</w:t>
      </w:r>
      <w:r w:rsidR="00D21D39" w:rsidRPr="000E3CE0">
        <w:rPr>
          <w:b/>
          <w:bCs/>
          <w:sz w:val="22"/>
          <w:szCs w:val="22"/>
        </w:rPr>
        <w:t xml:space="preserve">. </w:t>
      </w:r>
      <w:r w:rsidR="00D21D39" w:rsidRPr="000E3CE0">
        <w:rPr>
          <w:bCs/>
          <w:sz w:val="22"/>
          <w:szCs w:val="22"/>
          <w:lang w:eastAsia="en-US"/>
        </w:rPr>
        <w:t xml:space="preserve">Аукцион проводится путем повышения </w:t>
      </w:r>
      <w:r w:rsidR="008B62A5" w:rsidRPr="000E3CE0">
        <w:rPr>
          <w:bCs/>
          <w:sz w:val="22"/>
          <w:szCs w:val="22"/>
          <w:lang w:eastAsia="en-US"/>
        </w:rPr>
        <w:t>На</w:t>
      </w:r>
      <w:r w:rsidR="00D21D39" w:rsidRPr="000E3CE0">
        <w:rPr>
          <w:bCs/>
          <w:sz w:val="22"/>
          <w:szCs w:val="22"/>
          <w:lang w:eastAsia="en-US"/>
        </w:rPr>
        <w:t>чальной</w:t>
      </w:r>
      <w:r w:rsidR="00136749" w:rsidRPr="000E3CE0">
        <w:rPr>
          <w:bCs/>
          <w:sz w:val="22"/>
          <w:szCs w:val="22"/>
          <w:lang w:eastAsia="en-US"/>
        </w:rPr>
        <w:t xml:space="preserve"> </w:t>
      </w:r>
      <w:r w:rsidR="00D21D39" w:rsidRPr="000E3CE0">
        <w:rPr>
          <w:bCs/>
          <w:sz w:val="22"/>
          <w:szCs w:val="22"/>
          <w:lang w:eastAsia="en-US"/>
        </w:rPr>
        <w:t xml:space="preserve">цены </w:t>
      </w:r>
      <w:r w:rsidR="004A0954" w:rsidRPr="000E3CE0">
        <w:rPr>
          <w:bCs/>
          <w:sz w:val="22"/>
          <w:szCs w:val="22"/>
          <w:lang w:eastAsia="en-US"/>
        </w:rPr>
        <w:t>П</w:t>
      </w:r>
      <w:r w:rsidR="00136749" w:rsidRPr="000E3CE0">
        <w:rPr>
          <w:bCs/>
          <w:sz w:val="22"/>
          <w:szCs w:val="22"/>
          <w:lang w:eastAsia="en-US"/>
        </w:rPr>
        <w:t xml:space="preserve">редмета </w:t>
      </w:r>
      <w:r w:rsidR="00D21D39" w:rsidRPr="000E3CE0">
        <w:rPr>
          <w:bCs/>
          <w:sz w:val="22"/>
          <w:szCs w:val="22"/>
          <w:lang w:eastAsia="en-US"/>
        </w:rPr>
        <w:t>аукциона на «шаг аукциона», установленные пунктом 2.</w:t>
      </w:r>
      <w:r w:rsidR="00A07F3F" w:rsidRPr="000E3CE0">
        <w:rPr>
          <w:bCs/>
          <w:sz w:val="22"/>
          <w:szCs w:val="22"/>
          <w:lang w:eastAsia="en-US"/>
        </w:rPr>
        <w:t>5</w:t>
      </w:r>
      <w:r w:rsidR="00D21D39" w:rsidRPr="000E3CE0">
        <w:rPr>
          <w:bCs/>
          <w:sz w:val="22"/>
          <w:szCs w:val="22"/>
          <w:lang w:eastAsia="en-US"/>
        </w:rPr>
        <w:t xml:space="preserve"> Извещени</w:t>
      </w:r>
      <w:r w:rsidR="000D4B25" w:rsidRPr="000E3CE0">
        <w:rPr>
          <w:bCs/>
          <w:sz w:val="22"/>
          <w:szCs w:val="22"/>
          <w:lang w:eastAsia="en-US"/>
        </w:rPr>
        <w:t>я</w:t>
      </w:r>
      <w:r w:rsidR="00D21D39" w:rsidRPr="000E3CE0">
        <w:rPr>
          <w:bCs/>
          <w:sz w:val="22"/>
          <w:szCs w:val="22"/>
          <w:lang w:eastAsia="en-US"/>
        </w:rPr>
        <w:t>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3C2D683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r w:rsidR="00AA115F" w:rsidRPr="000E3CE0">
        <w:rPr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</w:t>
      </w:r>
      <w:r w:rsidR="001A3913">
        <w:rPr>
          <w:sz w:val="22"/>
          <w:szCs w:val="22"/>
          <w:lang w:eastAsia="en-US"/>
        </w:rPr>
        <w:t xml:space="preserve">в случае </w:t>
      </w:r>
      <w:r w:rsidR="00AA115F" w:rsidRPr="000E3CE0">
        <w:rPr>
          <w:sz w:val="22"/>
          <w:szCs w:val="22"/>
          <w:lang w:eastAsia="en-US"/>
        </w:rPr>
        <w:t xml:space="preserve">технологического сбоя, зафиксированного программными и техническими средствами электронной площадки. </w:t>
      </w:r>
      <w:r w:rsidRPr="001C73F0">
        <w:rPr>
          <w:sz w:val="22"/>
          <w:szCs w:val="22"/>
          <w:lang w:eastAsia="en-US"/>
        </w:rPr>
        <w:t>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736991AA" w14:textId="27E85731" w:rsidR="007D112D" w:rsidRPr="000E3CE0" w:rsidRDefault="00A35E0E" w:rsidP="00BE5B57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.1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>. </w:t>
      </w:r>
      <w:r w:rsidR="00846443" w:rsidRPr="000E3CE0">
        <w:rPr>
          <w:sz w:val="22"/>
          <w:szCs w:val="22"/>
        </w:rPr>
        <w:t>Аукцион</w:t>
      </w:r>
      <w:r w:rsidR="002722EE" w:rsidRPr="000E3CE0">
        <w:rPr>
          <w:sz w:val="22"/>
          <w:szCs w:val="22"/>
        </w:rPr>
        <w:t xml:space="preserve"> </w:t>
      </w:r>
      <w:r w:rsidR="00846443" w:rsidRPr="000E3CE0">
        <w:rPr>
          <w:sz w:val="22"/>
          <w:szCs w:val="22"/>
        </w:rPr>
        <w:t>признается несостоявшимся в случаях, если:</w:t>
      </w:r>
    </w:p>
    <w:p w14:paraId="47D0EC93" w14:textId="6343431C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>по окончании срока подачи Заявок</w:t>
      </w:r>
      <w:r w:rsidR="0052444B" w:rsidRPr="000E3CE0">
        <w:rPr>
          <w:sz w:val="22"/>
          <w:szCs w:val="22"/>
        </w:rPr>
        <w:t xml:space="preserve"> была подана только одна Заявка</w:t>
      </w:r>
      <w:r w:rsidRPr="000E3CE0">
        <w:rPr>
          <w:sz w:val="22"/>
          <w:szCs w:val="22"/>
        </w:rPr>
        <w:t>;</w:t>
      </w:r>
    </w:p>
    <w:p w14:paraId="3510ABB5" w14:textId="3C72D263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52444B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 xml:space="preserve">по окончании срока подачи Заявок </w:t>
      </w:r>
      <w:r w:rsidR="0052444B" w:rsidRPr="000E3CE0">
        <w:rPr>
          <w:sz w:val="22"/>
          <w:szCs w:val="22"/>
        </w:rPr>
        <w:t>не подано ни одной Заявки;</w:t>
      </w:r>
    </w:p>
    <w:p w14:paraId="5B98033D" w14:textId="2E5190B9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об отказе в допуске к участию </w:t>
      </w:r>
      <w:r w:rsidR="001A3913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в аукционе всех Заявителей</w:t>
      </w:r>
      <w:r w:rsidR="0052444B" w:rsidRPr="000E3CE0">
        <w:rPr>
          <w:sz w:val="22"/>
          <w:szCs w:val="22"/>
        </w:rPr>
        <w:t>;</w:t>
      </w:r>
    </w:p>
    <w:p w14:paraId="71C115BF" w14:textId="783580ED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9B0BEF" w:rsidRPr="000E3CE0">
        <w:rPr>
          <w:sz w:val="22"/>
          <w:szCs w:val="22"/>
        </w:rPr>
        <w:t xml:space="preserve">на основании результатов рассмотрения Заявок принято решение о допуске к участию в аукционе </w:t>
      </w:r>
      <w:r w:rsidR="008C21EE">
        <w:rPr>
          <w:sz w:val="22"/>
          <w:szCs w:val="22"/>
        </w:rPr>
        <w:br/>
      </w:r>
      <w:r w:rsidR="009B0BEF" w:rsidRPr="000E3CE0">
        <w:rPr>
          <w:sz w:val="22"/>
          <w:szCs w:val="22"/>
        </w:rPr>
        <w:t>и признании Участником только одного Заявителя</w:t>
      </w:r>
      <w:r w:rsidR="00A779F5" w:rsidRPr="000E3CE0">
        <w:rPr>
          <w:sz w:val="22"/>
          <w:szCs w:val="22"/>
        </w:rPr>
        <w:t>;</w:t>
      </w:r>
    </w:p>
    <w:p w14:paraId="22C2AE94" w14:textId="1E4606E5" w:rsidR="006024BB" w:rsidRPr="000E3CE0" w:rsidRDefault="006024BB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в случае если </w:t>
      </w:r>
      <w:r w:rsidR="00FF2761" w:rsidRPr="000E3CE0">
        <w:rPr>
          <w:sz w:val="22"/>
          <w:szCs w:val="22"/>
        </w:rPr>
        <w:t xml:space="preserve">в течении </w:t>
      </w:r>
      <w:r w:rsidR="008B4405" w:rsidRPr="000E3CE0">
        <w:rPr>
          <w:sz w:val="22"/>
          <w:szCs w:val="22"/>
        </w:rPr>
        <w:t>1</w:t>
      </w:r>
      <w:r w:rsidR="001C0D97">
        <w:rPr>
          <w:sz w:val="22"/>
          <w:szCs w:val="22"/>
        </w:rPr>
        <w:t>0</w:t>
      </w:r>
      <w:r w:rsidR="00FF2761" w:rsidRPr="000E3CE0">
        <w:rPr>
          <w:sz w:val="22"/>
          <w:szCs w:val="22"/>
        </w:rPr>
        <w:t xml:space="preserve"> (</w:t>
      </w:r>
      <w:r w:rsidR="001C0D97">
        <w:rPr>
          <w:sz w:val="22"/>
          <w:szCs w:val="22"/>
        </w:rPr>
        <w:t>десяти</w:t>
      </w:r>
      <w:r w:rsidR="00FF2761" w:rsidRPr="000E3CE0">
        <w:rPr>
          <w:sz w:val="22"/>
          <w:szCs w:val="22"/>
        </w:rPr>
        <w:t xml:space="preserve">) </w:t>
      </w:r>
      <w:r w:rsidR="001C0D97">
        <w:rPr>
          <w:sz w:val="22"/>
          <w:szCs w:val="22"/>
        </w:rPr>
        <w:t>минут</w:t>
      </w:r>
      <w:r w:rsidR="00FF2761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после начала проведения аукциона </w:t>
      </w:r>
      <w:r w:rsidR="00D531A9" w:rsidRPr="000E3CE0">
        <w:rPr>
          <w:sz w:val="22"/>
          <w:szCs w:val="22"/>
        </w:rPr>
        <w:t>не поступило ни одного предложения о цене Предмета аукциона, которое предусматривало бы более высокую</w:t>
      </w:r>
      <w:r w:rsidR="009B0BEF" w:rsidRPr="000E3CE0">
        <w:rPr>
          <w:sz w:val="22"/>
          <w:szCs w:val="22"/>
        </w:rPr>
        <w:t xml:space="preserve"> </w:t>
      </w:r>
      <w:r w:rsidR="00D531A9" w:rsidRPr="000E3CE0">
        <w:rPr>
          <w:sz w:val="22"/>
          <w:szCs w:val="22"/>
        </w:rPr>
        <w:t>цен</w:t>
      </w:r>
      <w:r w:rsidR="009B0BEF" w:rsidRPr="000E3CE0">
        <w:rPr>
          <w:sz w:val="22"/>
          <w:szCs w:val="22"/>
        </w:rPr>
        <w:t>у</w:t>
      </w:r>
      <w:r w:rsidR="00D531A9" w:rsidRPr="000E3CE0">
        <w:rPr>
          <w:sz w:val="22"/>
          <w:szCs w:val="22"/>
        </w:rPr>
        <w:t xml:space="preserve"> </w:t>
      </w:r>
      <w:r w:rsidR="009B0BEF" w:rsidRPr="000E3CE0">
        <w:rPr>
          <w:sz w:val="22"/>
          <w:szCs w:val="22"/>
        </w:rPr>
        <w:t>П</w:t>
      </w:r>
      <w:r w:rsidR="00D531A9" w:rsidRPr="000E3CE0">
        <w:rPr>
          <w:sz w:val="22"/>
          <w:szCs w:val="22"/>
        </w:rPr>
        <w:t>редмета аукциона</w:t>
      </w:r>
      <w:r w:rsidRPr="000E3CE0">
        <w:rPr>
          <w:sz w:val="22"/>
          <w:szCs w:val="22"/>
        </w:rPr>
        <w:t>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7" w:name="_Toc479691592"/>
      <w:r>
        <w:rPr>
          <w:rFonts w:ascii="Times New Roman" w:hAnsi="Times New Roman"/>
          <w:i w:val="0"/>
          <w:sz w:val="26"/>
          <w:szCs w:val="26"/>
          <w:lang w:val="ru-RU"/>
        </w:rPr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4"/>
      <w:bookmarkEnd w:id="75"/>
      <w:bookmarkEnd w:id="77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8" w:name="_Hlk130986499"/>
      <w:r w:rsidRPr="001B5838">
        <w:rPr>
          <w:color w:val="0000FF"/>
          <w:sz w:val="22"/>
          <w:szCs w:val="22"/>
        </w:rPr>
        <w:t>прилагается</w:t>
      </w:r>
      <w:bookmarkEnd w:id="78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lastRenderedPageBreak/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9" w:name="_Hlk130986518"/>
      <w:r>
        <w:rPr>
          <w:sz w:val="22"/>
          <w:szCs w:val="22"/>
        </w:rPr>
        <w:t>arenda.mosreg.ru</w:t>
      </w:r>
      <w:bookmarkEnd w:id="79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62A984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12.8.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1B5838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1B5838">
        <w:rPr>
          <w:sz w:val="22"/>
          <w:szCs w:val="22"/>
        </w:rPr>
        <w:br/>
        <w:t>в течение 30 (тридцати) дней со дня направления ему в ЛКА такого договора.</w:t>
      </w:r>
    </w:p>
    <w:p w14:paraId="5B217B24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12.9.</w:t>
      </w:r>
      <w:r w:rsidRPr="001B5838">
        <w:rPr>
          <w:sz w:val="22"/>
          <w:szCs w:val="22"/>
        </w:rPr>
        <w:t xml:space="preserve"> Если договор аренды Земельного участка в течение 30 (тридцати) дней со дня направления проекта договора аренды Земельного участка победителю аукциона не был им подписан в ЛКА, Арендодатель предлагает заключить указанный договор иному Участнику, который сделал предпоследнее предложение </w:t>
      </w:r>
      <w:r w:rsidRPr="001B5838">
        <w:rPr>
          <w:sz w:val="22"/>
          <w:szCs w:val="22"/>
        </w:rPr>
        <w:br/>
        <w:t>о цене Предмета аукциона, по цене, предложенной победителем аукциона.</w:t>
      </w:r>
    </w:p>
    <w:p w14:paraId="2E7E04B2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12.10</w:t>
      </w:r>
      <w:r w:rsidRPr="001B5838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 и 12.6 Извещения, в течение 30 (тридцати)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3386FABB" w14:textId="77777777" w:rsidR="001B5838" w:rsidRPr="001B5838" w:rsidRDefault="001B5838" w:rsidP="001B5838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1B5838">
        <w:rPr>
          <w:b/>
          <w:bCs/>
          <w:sz w:val="22"/>
          <w:szCs w:val="22"/>
        </w:rPr>
        <w:t>12.11.</w:t>
      </w:r>
      <w:r w:rsidRPr="001B5838">
        <w:rPr>
          <w:sz w:val="22"/>
          <w:szCs w:val="22"/>
        </w:rPr>
        <w:t xml:space="preserve"> В случае, если в течение 30 (тридцати)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1B5838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1B5838">
        <w:rPr>
          <w:sz w:val="22"/>
          <w:szCs w:val="22"/>
        </w:rPr>
        <w:br/>
        <w:t>с Земельным кодексом Российской Федерации.</w:t>
      </w:r>
    </w:p>
    <w:p w14:paraId="1FC53490" w14:textId="46EA9139" w:rsidR="00EB43EF" w:rsidRPr="00F824AA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769797E" w14:textId="0AA945E7" w:rsidR="006F4669" w:rsidRPr="006260FF" w:rsidRDefault="00124233" w:rsidP="006260FF">
      <w:pPr>
        <w:pStyle w:val="2"/>
        <w:numPr>
          <w:ilvl w:val="0"/>
          <w:numId w:val="0"/>
        </w:numPr>
        <w:rPr>
          <w:lang w:val="ru-RU"/>
        </w:rPr>
      </w:pPr>
      <w:r w:rsidRPr="000E3CE0">
        <w:br w:type="page"/>
      </w:r>
      <w:bookmarkStart w:id="80" w:name="_Toc423082997"/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>, гражданина,</w:t>
      </w:r>
      <w:r w:rsidRPr="00526AE0">
        <w:rPr>
          <w:bCs/>
          <w:sz w:val="16"/>
          <w:szCs w:val="18"/>
        </w:rPr>
        <w:t xml:space="preserve">  индивидуального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>, лица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……………………………….,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………………………………………………………</w:t>
            </w:r>
            <w:r w:rsidRPr="00526AE0">
              <w:rPr>
                <w:sz w:val="18"/>
                <w:szCs w:val="18"/>
              </w:rPr>
              <w:t xml:space="preserve">…..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ИНН………………………………….. КПП ……………………………………… ОГРН………………………………………………….</w:t>
            </w:r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……………………………………(Ф.И.О.</w:t>
            </w:r>
            <w:r w:rsidRPr="00526AE0">
              <w:rPr>
                <w:sz w:val="18"/>
                <w:szCs w:val="18"/>
              </w:rPr>
              <w:t>)………………………………………………………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…………....……№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 ..……………………………………………….……………………………..………………………………………...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Адрес:…………………………………………………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……..…………………………………………………………………………………………………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 xml:space="preserve">, а также в иных случаях, предусмотренных пунктами 13 и 14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80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   «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lastRenderedPageBreak/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3310E93F" w14:textId="77777777" w:rsidR="007B55C6" w:rsidRDefault="007B55C6"/>
    <w:sectPr w:rsidR="007B55C6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09559A" w14:textId="77777777" w:rsidR="00B13763" w:rsidRDefault="00B13763">
      <w:r>
        <w:separator/>
      </w:r>
    </w:p>
  </w:endnote>
  <w:endnote w:type="continuationSeparator" w:id="0">
    <w:p w14:paraId="1EBD6640" w14:textId="77777777" w:rsidR="00B13763" w:rsidRDefault="00B13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0A1D671E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85C" w:rsidRPr="00BF085C">
          <w:rPr>
            <w:noProof/>
            <w:lang w:val="ru-RU"/>
          </w:rPr>
          <w:t>2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EB840B" w14:textId="77777777" w:rsidR="00B13763" w:rsidRDefault="00B13763">
      <w:r>
        <w:separator/>
      </w:r>
    </w:p>
  </w:footnote>
  <w:footnote w:type="continuationSeparator" w:id="0">
    <w:p w14:paraId="387F0EE2" w14:textId="77777777" w:rsidR="00B13763" w:rsidRDefault="00B13763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Заполняется при подаче Заявки юридическим лицом, или лицом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1CEE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0FF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5C6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763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85C"/>
    <w:rsid w:val="00BF091C"/>
    <w:rsid w:val="00BF0CE2"/>
    <w:rsid w:val="00BF1518"/>
    <w:rsid w:val="00BF1850"/>
    <w:rsid w:val="00BF204D"/>
    <w:rsid w:val="00BF55A8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06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67E3ED2"/>
  <w15:docId w15:val="{A8F6FACA-CB4B-4D45-86C5-59FB8945A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C5CEDE-D79E-4F27-BCED-F4AAA4F85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6110</Words>
  <Characters>34829</Characters>
  <Application>Microsoft Office Word</Application>
  <DocSecurity>0</DocSecurity>
  <Lines>290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40858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Дымов Николай Викторович</cp:lastModifiedBy>
  <cp:revision>2</cp:revision>
  <cp:lastPrinted>2024-04-05T11:34:00Z</cp:lastPrinted>
  <dcterms:created xsi:type="dcterms:W3CDTF">2024-04-08T11:24:00Z</dcterms:created>
  <dcterms:modified xsi:type="dcterms:W3CDTF">2024-04-08T11:24:00Z</dcterms:modified>
</cp:coreProperties>
</file>