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АЗЭ-ЛЮБ/26-719</w:t>
      </w:r>
    </w:p>
    <w:p w14:paraId="048632ED" w14:textId="332EC0E4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2B3733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2B373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00300060125937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20.02.2026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24.03.2026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26.03.2026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5DC3FCF3" w:rsidR="00AD04C9" w:rsidRDefault="00AD04C9" w:rsidP="00AD04C9">
      <w:pPr>
        <w:autoSpaceDE w:val="0"/>
        <w:rPr>
          <w:bCs/>
          <w:sz w:val="26"/>
          <w:szCs w:val="26"/>
        </w:rPr>
      </w:pPr>
    </w:p>
    <w:p w14:paraId="42CBD2BD" w14:textId="20607C0C" w:rsidR="002B3733" w:rsidRDefault="002B3733" w:rsidP="00AD04C9">
      <w:pPr>
        <w:autoSpaceDE w:val="0"/>
        <w:rPr>
          <w:bCs/>
          <w:sz w:val="26"/>
          <w:szCs w:val="26"/>
        </w:rPr>
      </w:pPr>
    </w:p>
    <w:p w14:paraId="3083949A" w14:textId="42E8B348" w:rsidR="002B3733" w:rsidRDefault="002B3733" w:rsidP="00AD04C9">
      <w:pPr>
        <w:autoSpaceDE w:val="0"/>
        <w:rPr>
          <w:bCs/>
          <w:sz w:val="26"/>
          <w:szCs w:val="26"/>
        </w:rPr>
      </w:pPr>
    </w:p>
    <w:p w14:paraId="7432BB1A" w14:textId="77777777" w:rsidR="002B3733" w:rsidRDefault="002B3733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17.02.2026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27-З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197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2 314,00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19BC2F63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50:22:0060617:443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2B3733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499F269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</w:t>
      </w:r>
      <w:r w:rsidR="00EC6A5B">
        <w:rPr>
          <w:b/>
          <w:sz w:val="22"/>
          <w:szCs w:val="22"/>
        </w:rPr>
        <w:t>ы</w:t>
      </w:r>
      <w:r w:rsidRPr="000E3CE0">
        <w:rPr>
          <w:b/>
          <w:sz w:val="22"/>
          <w:szCs w:val="22"/>
        </w:rPr>
        <w:t xml:space="preserve">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C38EFB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B3733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366CC42A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05AE5A13" w14:textId="77777777" w:rsidR="002B3733" w:rsidRDefault="002B3733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78E98CF" w14:textId="2C885277" w:rsidR="00441E83" w:rsidRPr="00320D58" w:rsidRDefault="0058232E" w:rsidP="002B373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в приаэродромной территории аэродрома гражданской авиации Черное - подзона 6.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 Российской  Федерации  от  19.03.1997  № 60-ФЗ,</w:t>
      </w:r>
      <w:r>
        <w:rPr>
          <w:color w:val="0000FF"/>
          <w:sz w:val="22"/>
          <w:szCs w:val="22"/>
        </w:rPr>
        <w:br/>
        <w:t>- Федерального закона от 01.07.2017 № 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194607E2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</w:t>
      </w:r>
      <w:r w:rsidR="00EC6A5B" w:rsidRPr="00EC6A5B">
        <w:rPr>
          <w:color w:val="0000FF"/>
          <w:sz w:val="22"/>
          <w:szCs w:val="22"/>
          <w:lang w:eastAsia="ru-RU"/>
        </w:rPr>
        <w:t>градостроительном плане земельного участка</w:t>
      </w:r>
      <w:r w:rsidR="00EC6A5B">
        <w:rPr>
          <w:color w:val="0000FF"/>
          <w:sz w:val="22"/>
          <w:szCs w:val="22"/>
          <w:lang w:eastAsia="ru-RU"/>
        </w:rPr>
        <w:t xml:space="preserve"> </w:t>
      </w:r>
      <w:r w:rsidR="00EC6A5B" w:rsidRPr="0095799D">
        <w:rPr>
          <w:color w:val="0000FF"/>
          <w:sz w:val="22"/>
          <w:szCs w:val="22"/>
          <w:lang w:eastAsia="ru-RU"/>
        </w:rPr>
        <w:t>(прилагается)</w:t>
      </w:r>
      <w:r w:rsidR="00EC6A5B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1 000 000,00 руб. (Один миллион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30 000,00 руб. (Тридцать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566A3351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</w:t>
      </w:r>
      <w:r w:rsidR="00A319DF">
        <w:rPr>
          <w:b/>
          <w:color w:val="0000FF"/>
          <w:sz w:val="22"/>
          <w:szCs w:val="22"/>
        </w:rPr>
        <w:t>0 000,00 руб. (Пятьсот</w:t>
      </w:r>
      <w:r>
        <w:rPr>
          <w:b/>
          <w:color w:val="0000FF"/>
          <w:sz w:val="22"/>
          <w:szCs w:val="22"/>
        </w:rPr>
        <w:t xml:space="preserve">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20.02.2026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24.03.2026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25.03.2026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26.03.2026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0D053280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A48148A" w:rsidR="00A86C55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A48B352" w14:textId="62E15BC9" w:rsidR="00423BA4" w:rsidRDefault="00423BA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3BA4">
        <w:rPr>
          <w:b/>
          <w:sz w:val="22"/>
          <w:szCs w:val="22"/>
        </w:rPr>
        <w:t>8.13.</w:t>
      </w:r>
      <w:r w:rsidRPr="00423BA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</w:t>
      </w:r>
      <w:r>
        <w:rPr>
          <w:sz w:val="22"/>
          <w:szCs w:val="22"/>
        </w:rPr>
        <w:t xml:space="preserve"> кодексом Российской Федерации.</w:t>
      </w:r>
    </w:p>
    <w:p w14:paraId="7A8B1305" w14:textId="7AE181E0" w:rsidR="002B3733" w:rsidRPr="00423BA4" w:rsidRDefault="002B3733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3733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4DCBFF27" w:rsid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069FC505" w14:textId="77777777" w:rsidR="002B3733" w:rsidRPr="002B3733" w:rsidRDefault="002B3733" w:rsidP="002B3733">
      <w:pPr>
        <w:jc w:val="center"/>
        <w:rPr>
          <w:b/>
          <w:bCs/>
          <w:color w:val="FF0000"/>
        </w:rPr>
      </w:pPr>
    </w:p>
    <w:p w14:paraId="260865B8" w14:textId="3A55FED3" w:rsidR="002B3733" w:rsidRPr="0020554B" w:rsidRDefault="002B3733" w:rsidP="002B3733">
      <w:pPr>
        <w:jc w:val="center"/>
        <w:rPr>
          <w:b/>
          <w:bCs/>
          <w:color w:val="FF0000"/>
        </w:rPr>
      </w:pPr>
      <w:r w:rsidRPr="002B3733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CE3150A" w14:textId="38FAEDDE" w:rsidR="00903325" w:rsidRDefault="00D95D1D" w:rsidP="002B3733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5" w:name="_Toc423082997"/>
      <w:r w:rsidR="002B3733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0775410" w14:textId="77777777" w:rsidR="000E07E0" w:rsidRDefault="000E07E0"/>
    <w:sectPr w:rsidR="000E07E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2821A" w14:textId="77777777" w:rsidR="00D472A2" w:rsidRDefault="00D472A2">
      <w:r>
        <w:separator/>
      </w:r>
    </w:p>
  </w:endnote>
  <w:endnote w:type="continuationSeparator" w:id="0">
    <w:p w14:paraId="40C1B172" w14:textId="77777777" w:rsidR="00D472A2" w:rsidRDefault="00D4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02F076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887" w:rsidRPr="00107887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92EFB" w14:textId="77777777" w:rsidR="00D472A2" w:rsidRDefault="00D472A2">
      <w:r>
        <w:separator/>
      </w:r>
    </w:p>
  </w:footnote>
  <w:footnote w:type="continuationSeparator" w:id="0">
    <w:p w14:paraId="7D69E94F" w14:textId="77777777" w:rsidR="00D472A2" w:rsidRDefault="00D472A2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07E0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07887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733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9DF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2A2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09B0B-FD4F-408C-80F0-E7D7FAD6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6261</Words>
  <Characters>35689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41867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2026-02-19T14:23:00Z</dcterms:created>
  <dcterms:modified xsi:type="dcterms:W3CDTF">2026-02-19T14:23:00Z</dcterms:modified>
</cp:coreProperties>
</file>